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right" w:pos="9072"/>
        </w:tabs>
        <w:jc w:val="both"/>
        <w:outlineLvl w:val="0"/>
        <w:rPr>
          <w:rFonts w:hint="default" w:ascii="Arial" w:hAnsi="Arial" w:eastAsia="宋体" w:cs="Times New Roman"/>
          <w:b/>
          <w:i/>
          <w:color w:val="auto"/>
          <w:kern w:val="0"/>
          <w:sz w:val="24"/>
          <w:lang w:val="en-US" w:eastAsia="zh-CN"/>
        </w:rPr>
      </w:pPr>
      <w:r>
        <w:rPr>
          <w:rFonts w:ascii="Arial" w:hAnsi="Arial" w:eastAsia="Times New Roman" w:cs="Arial"/>
          <w:b/>
          <w:color w:val="auto"/>
          <w:kern w:val="0"/>
          <w:sz w:val="24"/>
          <w:lang w:eastAsia="en-US"/>
        </w:rPr>
        <w:t xml:space="preserve">3GPP TSG-RAN WG4 Meeting </w:t>
      </w:r>
      <w:r>
        <w:rPr>
          <w:rFonts w:hint="eastAsia" w:ascii="Arial" w:hAnsi="Arial" w:eastAsia="Times New Roman" w:cs="Arial"/>
          <w:b/>
          <w:color w:val="auto"/>
          <w:kern w:val="0"/>
          <w:sz w:val="24"/>
          <w:lang w:eastAsia="zh-CN"/>
        </w:rPr>
        <w:t>#</w:t>
      </w:r>
      <w:r>
        <w:rPr>
          <w:rFonts w:hint="eastAsia" w:ascii="Arial" w:hAnsi="Arial" w:eastAsia="Times New Roman" w:cs="Arial"/>
          <w:b/>
          <w:color w:val="auto"/>
          <w:kern w:val="0"/>
          <w:sz w:val="24"/>
          <w:lang w:val="en-US" w:eastAsia="zh-CN"/>
        </w:rPr>
        <w:t>104bis</w:t>
      </w:r>
      <w:r>
        <w:rPr>
          <w:rFonts w:ascii="Arial" w:hAnsi="Arial" w:eastAsia="宋体" w:cs="Arial"/>
          <w:b/>
          <w:color w:val="auto"/>
          <w:kern w:val="0"/>
          <w:sz w:val="24"/>
          <w:lang w:eastAsia="zh-CN"/>
        </w:rPr>
        <w:t>-e</w:t>
      </w:r>
      <w:r>
        <w:rPr>
          <w:rFonts w:ascii="Arial" w:hAnsi="Arial" w:eastAsia="MS Mincho" w:cs="Times New Roman"/>
          <w:b/>
          <w:color w:val="auto"/>
          <w:kern w:val="0"/>
          <w:sz w:val="24"/>
          <w:lang w:eastAsia="en-US"/>
        </w:rPr>
        <w:tab/>
      </w:r>
      <w:r>
        <w:rPr>
          <w:rFonts w:hint="eastAsia" w:ascii="Arial" w:hAnsi="Arial" w:eastAsia="Times New Roman" w:cs="Times New Roman"/>
          <w:b/>
          <w:color w:val="auto"/>
          <w:kern w:val="0"/>
          <w:sz w:val="24"/>
          <w:lang w:eastAsia="zh-CN"/>
        </w:rPr>
        <w:t>R4-22</w:t>
      </w:r>
      <w:r>
        <w:rPr>
          <w:rFonts w:hint="eastAsia" w:ascii="Arial" w:hAnsi="Arial" w:eastAsia="Times New Roman" w:cs="Times New Roman"/>
          <w:b/>
          <w:color w:val="auto"/>
          <w:kern w:val="0"/>
          <w:sz w:val="24"/>
          <w:lang w:val="en-US" w:eastAsia="zh-CN"/>
        </w:rPr>
        <w:t>15934</w:t>
      </w:r>
    </w:p>
    <w:p>
      <w:pPr>
        <w:widowControl/>
        <w:tabs>
          <w:tab w:val="left" w:pos="3106"/>
          <w:tab w:val="center" w:pos="4536"/>
          <w:tab w:val="right" w:pos="9072"/>
        </w:tabs>
        <w:jc w:val="both"/>
        <w:outlineLvl w:val="0"/>
        <w:rPr>
          <w:rFonts w:ascii="Arial" w:hAnsi="Arial" w:eastAsia="宋体" w:cs="Times New Roman"/>
          <w:b/>
          <w:color w:val="auto"/>
          <w:kern w:val="0"/>
          <w:sz w:val="24"/>
          <w:lang w:val="en-GB" w:eastAsia="zh-CN"/>
        </w:rPr>
      </w:pPr>
      <w:r>
        <w:rPr>
          <w:rFonts w:ascii="Arial" w:hAnsi="Arial" w:eastAsia="宋体" w:cs="Times New Roman"/>
          <w:b/>
          <w:color w:val="auto"/>
          <w:kern w:val="0"/>
          <w:sz w:val="24"/>
          <w:lang w:eastAsia="zh-CN"/>
        </w:rPr>
        <w:t xml:space="preserve">Electronic Meeting, </w:t>
      </w:r>
      <w:r>
        <w:rPr>
          <w:rFonts w:hint="eastAsia" w:ascii="Arial" w:hAnsi="Arial" w:eastAsia="宋体" w:cs="Arial"/>
          <w:b/>
          <w:bCs/>
          <w:kern w:val="0"/>
          <w:sz w:val="24"/>
          <w:szCs w:val="24"/>
          <w:lang w:val="en-US" w:eastAsia="zh-CN"/>
        </w:rPr>
        <w:t>10</w:t>
      </w:r>
      <w:r>
        <w:rPr>
          <w:rFonts w:hint="eastAsia" w:ascii="Arial" w:hAnsi="Arial" w:cs="Arial"/>
          <w:b/>
          <w:bCs/>
          <w:kern w:val="0"/>
          <w:sz w:val="24"/>
          <w:szCs w:val="24"/>
          <w:vertAlign w:val="superscript"/>
          <w:lang w:val="en-US" w:eastAsia="zh-CN"/>
        </w:rPr>
        <w:t>th</w:t>
      </w:r>
      <w:r>
        <w:rPr>
          <w:rFonts w:ascii="Arial" w:hAnsi="Arial" w:eastAsia="Times New Roman" w:cs="Arial"/>
          <w:b/>
          <w:bCs/>
          <w:kern w:val="0"/>
          <w:sz w:val="24"/>
          <w:szCs w:val="24"/>
          <w:lang w:eastAsia="en-US"/>
        </w:rPr>
        <w:t xml:space="preserve"> </w:t>
      </w:r>
      <w:r>
        <w:rPr>
          <w:rFonts w:hint="eastAsia" w:ascii="Arial" w:hAnsi="Arial" w:eastAsia="宋体" w:cs="Arial"/>
          <w:b/>
          <w:bCs/>
          <w:kern w:val="0"/>
          <w:sz w:val="24"/>
          <w:szCs w:val="24"/>
          <w:lang w:val="en-US" w:eastAsia="zh-CN"/>
        </w:rPr>
        <w:t>Oct</w:t>
      </w:r>
      <w:r>
        <w:rPr>
          <w:rFonts w:ascii="Arial" w:hAnsi="Arial" w:eastAsia="Times New Roman" w:cs="Arial"/>
          <w:b/>
          <w:bCs/>
          <w:kern w:val="0"/>
          <w:sz w:val="24"/>
          <w:szCs w:val="24"/>
          <w:lang w:eastAsia="en-US"/>
        </w:rPr>
        <w:t>–</w:t>
      </w:r>
      <w:r>
        <w:rPr>
          <w:rFonts w:hint="eastAsia" w:ascii="Arial" w:hAnsi="Arial" w:eastAsia="宋体" w:cs="Arial"/>
          <w:b/>
          <w:bCs/>
          <w:kern w:val="0"/>
          <w:sz w:val="24"/>
          <w:szCs w:val="24"/>
          <w:lang w:val="en-US" w:eastAsia="zh-CN"/>
        </w:rPr>
        <w:t>19</w:t>
      </w:r>
      <w:r>
        <w:rPr>
          <w:rFonts w:hint="eastAsia" w:ascii="Arial" w:hAnsi="Arial" w:cs="Arial"/>
          <w:b/>
          <w:bCs/>
          <w:kern w:val="0"/>
          <w:sz w:val="24"/>
          <w:szCs w:val="24"/>
          <w:vertAlign w:val="superscript"/>
          <w:lang w:val="en-US" w:eastAsia="zh-CN"/>
        </w:rPr>
        <w:t>th</w:t>
      </w:r>
      <w:r>
        <w:rPr>
          <w:rFonts w:ascii="Arial" w:hAnsi="Arial" w:eastAsia="Times New Roman" w:cs="Arial"/>
          <w:b/>
          <w:bCs/>
          <w:kern w:val="0"/>
          <w:sz w:val="24"/>
          <w:szCs w:val="24"/>
          <w:lang w:eastAsia="en-US"/>
        </w:rPr>
        <w:t xml:space="preserve"> </w:t>
      </w:r>
      <w:r>
        <w:rPr>
          <w:rFonts w:hint="eastAsia" w:ascii="Arial" w:hAnsi="Arial" w:eastAsia="宋体" w:cs="Arial"/>
          <w:b/>
          <w:bCs/>
          <w:kern w:val="0"/>
          <w:sz w:val="24"/>
          <w:szCs w:val="24"/>
          <w:lang w:val="en-US" w:eastAsia="zh-CN"/>
        </w:rPr>
        <w:t>Oct</w:t>
      </w:r>
      <w:r>
        <w:rPr>
          <w:rFonts w:ascii="Arial" w:hAnsi="Arial" w:eastAsia="宋体" w:cs="Times New Roman"/>
          <w:b/>
          <w:color w:val="auto"/>
          <w:kern w:val="0"/>
          <w:sz w:val="24"/>
          <w:lang w:eastAsia="zh-CN"/>
        </w:rPr>
        <w:t>, 202</w:t>
      </w:r>
      <w:r>
        <w:rPr>
          <w:rFonts w:hint="eastAsia" w:ascii="Arial" w:hAnsi="Arial" w:eastAsia="宋体" w:cs="Times New Roman"/>
          <w:b/>
          <w:color w:val="auto"/>
          <w:kern w:val="0"/>
          <w:sz w:val="24"/>
          <w:lang w:val="en-US" w:eastAsia="zh-CN"/>
        </w:rPr>
        <w:t>2</w:t>
      </w:r>
    </w:p>
    <w:p>
      <w:pPr>
        <w:tabs>
          <w:tab w:val="left" w:pos="1800"/>
        </w:tabs>
        <w:spacing w:after="60"/>
        <w:ind w:left="0" w:firstLine="0"/>
        <w:jc w:val="both"/>
        <w:outlineLvl w:val="0"/>
        <w:rPr>
          <w:ins w:id="0" w:author="ZTE,Fei Xue" w:date="2022-08-10T22:32:37Z"/>
          <w:rFonts w:ascii="Arial" w:hAnsi="Arial" w:eastAsia="MS Mincho" w:cs="Times New Roman"/>
          <w:b/>
          <w:color w:val="auto"/>
          <w:sz w:val="24"/>
          <w:szCs w:val="24"/>
          <w:lang w:val="zh-CN" w:eastAsia="en-US" w:bidi="ar-SA"/>
        </w:rPr>
      </w:pPr>
      <w:bookmarkStart w:id="0" w:name="_GoBack"/>
      <w:bookmarkEnd w:id="0"/>
    </w:p>
    <w:p>
      <w:pPr>
        <w:tabs>
          <w:tab w:val="left" w:pos="1800"/>
          <w:tab w:val="left" w:pos="3825"/>
        </w:tabs>
        <w:spacing w:after="60"/>
        <w:jc w:val="both"/>
        <w:outlineLvl w:val="0"/>
        <w:rPr>
          <w:rFonts w:hint="default" w:ascii="Arial" w:hAnsi="Arial" w:eastAsia="宋体" w:cs="Times New Roman"/>
          <w:b/>
          <w:color w:val="auto"/>
          <w:sz w:val="24"/>
          <w:szCs w:val="24"/>
          <w:highlight w:val="none"/>
          <w:lang w:val="en-US" w:eastAsia="zh-CN" w:bidi="ar-SA"/>
        </w:rPr>
      </w:pPr>
      <w:r>
        <w:rPr>
          <w:rFonts w:ascii="Arial" w:hAnsi="Arial" w:eastAsia="MS Mincho" w:cs="Times New Roman"/>
          <w:b/>
          <w:color w:val="auto"/>
          <w:sz w:val="24"/>
          <w:szCs w:val="24"/>
          <w:lang w:val="zh-CN" w:eastAsia="en-US" w:bidi="ar-SA"/>
        </w:rPr>
        <w:t>Agenda Item:</w:t>
      </w:r>
      <w:r>
        <w:rPr>
          <w:rFonts w:ascii="Arial" w:hAnsi="Arial" w:eastAsia="MS Mincho" w:cs="Times New Roman"/>
          <w:b/>
          <w:color w:val="auto"/>
          <w:sz w:val="24"/>
          <w:szCs w:val="24"/>
          <w:lang w:val="zh-CN" w:eastAsia="en-US" w:bidi="ar-SA"/>
        </w:rPr>
        <w:tab/>
      </w:r>
      <w:r>
        <w:rPr>
          <w:rFonts w:hint="eastAsia" w:ascii="Arial" w:hAnsi="Arial" w:eastAsia="宋体" w:cs="Times New Roman"/>
          <w:b/>
          <w:color w:val="auto"/>
          <w:sz w:val="24"/>
          <w:szCs w:val="24"/>
          <w:lang w:val="en-US" w:eastAsia="zh-CN" w:bidi="ar-SA"/>
        </w:rPr>
        <w:t>7</w:t>
      </w:r>
      <w:r>
        <w:rPr>
          <w:rFonts w:hint="eastAsia" w:ascii="Arial" w:hAnsi="Arial" w:eastAsia="宋体" w:cs="Times New Roman"/>
          <w:b/>
          <w:color w:val="auto"/>
          <w:sz w:val="24"/>
          <w:szCs w:val="24"/>
          <w:highlight w:val="none"/>
          <w:lang w:val="en-US" w:eastAsia="zh-CN" w:bidi="ar-SA"/>
        </w:rPr>
        <w:t>.4.2</w:t>
      </w:r>
    </w:p>
    <w:p>
      <w:pPr>
        <w:tabs>
          <w:tab w:val="left" w:pos="1800"/>
        </w:tabs>
        <w:spacing w:after="60"/>
        <w:ind w:left="1800" w:hanging="1800"/>
        <w:jc w:val="both"/>
        <w:outlineLvl w:val="0"/>
        <w:rPr>
          <w:rFonts w:ascii="Arial" w:hAnsi="Arial" w:eastAsia="宋体" w:cs="Times New Roman"/>
          <w:b/>
          <w:color w:val="auto"/>
          <w:sz w:val="24"/>
          <w:szCs w:val="24"/>
          <w:lang w:val="en-US" w:eastAsia="zh-CN" w:bidi="ar-SA"/>
        </w:rPr>
      </w:pPr>
      <w:r>
        <w:rPr>
          <w:rFonts w:ascii="Arial" w:hAnsi="Arial" w:eastAsia="MS Mincho" w:cs="Times New Roman"/>
          <w:b/>
          <w:color w:val="auto"/>
          <w:sz w:val="24"/>
          <w:szCs w:val="24"/>
          <w:lang w:val="zh-CN" w:eastAsia="en-US" w:bidi="ar-SA"/>
        </w:rPr>
        <w:t>Source:</w:t>
      </w:r>
      <w:r>
        <w:rPr>
          <w:rFonts w:ascii="Arial" w:hAnsi="Arial" w:eastAsia="MS Mincho" w:cs="Times New Roman"/>
          <w:b/>
          <w:color w:val="auto"/>
          <w:sz w:val="24"/>
          <w:szCs w:val="24"/>
          <w:lang w:val="zh-CN" w:eastAsia="en-US" w:bidi="ar-SA"/>
        </w:rPr>
        <w:tab/>
      </w:r>
      <w:r>
        <w:rPr>
          <w:rFonts w:ascii="Arial" w:hAnsi="Arial" w:eastAsia="宋体" w:cs="Times New Roman"/>
          <w:b/>
          <w:color w:val="auto"/>
          <w:sz w:val="24"/>
          <w:szCs w:val="24"/>
          <w:lang w:val="en-US" w:eastAsia="zh-CN" w:bidi="ar-SA"/>
        </w:rPr>
        <w:t>ZTE Corporation</w:t>
      </w:r>
    </w:p>
    <w:p>
      <w:pPr>
        <w:tabs>
          <w:tab w:val="left" w:pos="1800"/>
        </w:tabs>
        <w:spacing w:after="60"/>
        <w:ind w:left="1807" w:hanging="1801" w:hangingChars="750"/>
        <w:outlineLvl w:val="0"/>
        <w:rPr>
          <w:rFonts w:hint="default" w:ascii="Arial" w:hAnsi="Arial" w:eastAsia="宋体" w:cs="Times New Roman"/>
          <w:b/>
          <w:color w:val="auto"/>
          <w:sz w:val="24"/>
          <w:szCs w:val="24"/>
          <w:lang w:val="en-US" w:eastAsia="zh-CN" w:bidi="ar-SA"/>
        </w:rPr>
      </w:pPr>
      <w:r>
        <w:rPr>
          <w:rFonts w:ascii="Arial" w:hAnsi="Arial" w:eastAsia="MS Mincho" w:cs="Times New Roman"/>
          <w:b/>
          <w:color w:val="auto"/>
          <w:sz w:val="24"/>
          <w:szCs w:val="24"/>
          <w:lang w:val="zh-CN" w:eastAsia="en-US" w:bidi="ar-SA"/>
        </w:rPr>
        <w:t>Title:</w:t>
      </w:r>
      <w:r>
        <w:rPr>
          <w:rFonts w:ascii="Arial" w:hAnsi="Arial" w:eastAsia="MS Mincho" w:cs="Times New Roman"/>
          <w:b/>
          <w:color w:val="auto"/>
          <w:sz w:val="24"/>
          <w:szCs w:val="24"/>
          <w:lang w:val="zh-CN" w:eastAsia="en-US" w:bidi="ar-SA"/>
        </w:rPr>
        <w:tab/>
      </w:r>
      <w:r>
        <w:rPr>
          <w:rFonts w:hint="eastAsia" w:ascii="Arial" w:hAnsi="Arial" w:cs="Times New Roman"/>
          <w:b/>
          <w:color w:val="auto"/>
          <w:sz w:val="24"/>
          <w:szCs w:val="24"/>
          <w:lang w:val="en-US" w:eastAsia="zh-CN" w:bidi="ar-SA"/>
        </w:rPr>
        <w:t>Further d</w:t>
      </w:r>
      <w:r>
        <w:rPr>
          <w:rFonts w:hint="eastAsia" w:ascii="Arial" w:hAnsi="Arial" w:eastAsia="宋体" w:cs="Times New Roman"/>
          <w:b/>
          <w:color w:val="auto"/>
          <w:sz w:val="24"/>
          <w:szCs w:val="24"/>
          <w:lang w:val="en-US" w:eastAsia="zh-CN" w:bidi="ar-SA"/>
        </w:rPr>
        <w:t>iscussion on band definition for LTE based broadcast</w:t>
      </w:r>
    </w:p>
    <w:p>
      <w:pPr>
        <w:tabs>
          <w:tab w:val="left" w:pos="1800"/>
        </w:tabs>
        <w:snapToGrid w:val="0"/>
        <w:spacing w:after="240"/>
        <w:jc w:val="both"/>
        <w:outlineLvl w:val="0"/>
        <w:rPr>
          <w:rFonts w:ascii="Arial" w:hAnsi="Arial" w:eastAsia="宋体" w:cs="Times New Roman"/>
          <w:b/>
          <w:color w:val="auto"/>
          <w:sz w:val="24"/>
          <w:szCs w:val="24"/>
          <w:lang w:val="en-US" w:eastAsia="zh-CN" w:bidi="ar-SA"/>
        </w:rPr>
      </w:pPr>
      <w:r>
        <w:rPr>
          <w:rFonts w:ascii="Arial" w:hAnsi="Arial" w:eastAsia="MS Mincho" w:cs="Times New Roman"/>
          <w:b/>
          <w:color w:val="auto"/>
          <w:sz w:val="24"/>
          <w:szCs w:val="24"/>
          <w:lang w:val="zh-CN" w:eastAsia="en-US" w:bidi="ar-SA"/>
        </w:rPr>
        <w:t>Document for:</w:t>
      </w:r>
      <w:r>
        <w:rPr>
          <w:rFonts w:ascii="Arial" w:hAnsi="Arial" w:eastAsia="MS Mincho" w:cs="Times New Roman"/>
          <w:b/>
          <w:color w:val="auto"/>
          <w:sz w:val="24"/>
          <w:szCs w:val="24"/>
          <w:lang w:val="zh-CN" w:eastAsia="en-US" w:bidi="ar-SA"/>
        </w:rPr>
        <w:tab/>
      </w:r>
      <w:r>
        <w:rPr>
          <w:rFonts w:hint="eastAsia" w:ascii="Arial" w:hAnsi="Arial" w:eastAsia="MS Mincho" w:cs="Arial"/>
          <w:b/>
          <w:sz w:val="24"/>
          <w:szCs w:val="24"/>
          <w:highlight w:val="none"/>
          <w:lang w:val="en-US" w:eastAsia="zh-CN" w:bidi="ar-SA"/>
        </w:rPr>
        <w:t>Approval</w:t>
      </w:r>
    </w:p>
    <w:p>
      <w:pPr>
        <w:keepNext/>
        <w:widowControl w:val="0"/>
        <w:numPr>
          <w:ilvl w:val="0"/>
          <w:numId w:val="1"/>
        </w:numPr>
        <w:pBdr>
          <w:top w:val="single" w:color="auto" w:sz="12" w:space="1"/>
        </w:pBdr>
        <w:tabs>
          <w:tab w:val="left" w:pos="284"/>
        </w:tabs>
        <w:adjustRightInd w:val="0"/>
        <w:snapToGrid w:val="0"/>
        <w:spacing w:before="468" w:beforeLines="150" w:after="156" w:afterLines="50" w:line="300" w:lineRule="auto"/>
        <w:ind w:left="425" w:hanging="425"/>
        <w:jc w:val="both"/>
        <w:textAlignment w:val="baseline"/>
        <w:outlineLvl w:val="0"/>
        <w:rPr>
          <w:rFonts w:ascii="Helvetica" w:hAnsi="Helvetica" w:eastAsia="宋体" w:cs="Times New Roman"/>
          <w:b/>
          <w:bCs/>
          <w:color w:val="auto"/>
          <w:kern w:val="32"/>
          <w:sz w:val="28"/>
          <w:szCs w:val="32"/>
          <w:lang w:val="zh-CN" w:eastAsia="zh-CN" w:bidi="ar-SA"/>
        </w:rPr>
      </w:pPr>
      <w:r>
        <w:rPr>
          <w:rFonts w:ascii="Helvetica" w:hAnsi="Helvetica" w:eastAsia="宋体" w:cs="Times New Roman"/>
          <w:b/>
          <w:bCs/>
          <w:color w:val="auto"/>
          <w:kern w:val="32"/>
          <w:sz w:val="28"/>
          <w:szCs w:val="32"/>
          <w:lang w:val="zh-CN" w:eastAsia="zh-CN" w:bidi="ar-SA"/>
        </w:rPr>
        <w:t>Introduction</w:t>
      </w:r>
    </w:p>
    <w:p>
      <w:pPr>
        <w:keepNext w:val="0"/>
        <w:keepLines w:val="0"/>
        <w:pageBreakBefore w:val="0"/>
        <w:widowControl/>
        <w:kinsoku/>
        <w:wordWrap/>
        <w:overflowPunct w:val="0"/>
        <w:topLinePunct w:val="0"/>
        <w:autoSpaceDE/>
        <w:autoSpaceDN/>
        <w:bidi w:val="0"/>
        <w:adjustRightInd/>
        <w:snapToGrid/>
        <w:spacing w:after="120"/>
        <w:jc w:val="both"/>
        <w:textAlignment w:val="auto"/>
        <w:rPr>
          <w:rFonts w:hint="eastAsia" w:ascii="Times New Roman" w:hAnsi="Times New Roman" w:eastAsia="宋体" w:cs="Times New Roman"/>
          <w:kern w:val="0"/>
          <w:sz w:val="20"/>
          <w:szCs w:val="20"/>
          <w:lang w:val="en-US" w:eastAsia="zh-CN"/>
        </w:rPr>
      </w:pPr>
      <w:r>
        <w:rPr>
          <w:rFonts w:ascii="Times New Roman" w:hAnsi="Times New Roman" w:eastAsia="Times New Roman" w:cs="Times New Roman"/>
          <w:kern w:val="0"/>
          <w:sz w:val="20"/>
          <w:szCs w:val="20"/>
          <w:lang w:eastAsia="en-US"/>
        </w:rPr>
        <w:t>During RAN</w:t>
      </w:r>
      <w:r>
        <w:rPr>
          <w:rFonts w:hint="eastAsia" w:ascii="Times New Roman" w:hAnsi="Times New Roman" w:cs="Times New Roman"/>
          <w:kern w:val="0"/>
          <w:sz w:val="20"/>
          <w:szCs w:val="20"/>
          <w:lang w:val="en-US" w:eastAsia="zh-CN"/>
        </w:rPr>
        <w:t>4</w:t>
      </w:r>
      <w:r>
        <w:rPr>
          <w:rFonts w:ascii="Times New Roman" w:hAnsi="Times New Roman" w:eastAsia="Times New Roman" w:cs="Times New Roman"/>
          <w:kern w:val="0"/>
          <w:sz w:val="20"/>
          <w:szCs w:val="20"/>
          <w:lang w:eastAsia="en-US"/>
        </w:rPr>
        <w:t>#</w:t>
      </w:r>
      <w:r>
        <w:rPr>
          <w:rFonts w:hint="eastAsia" w:ascii="Times New Roman" w:hAnsi="Times New Roman" w:cs="Times New Roman"/>
          <w:kern w:val="0"/>
          <w:sz w:val="20"/>
          <w:szCs w:val="20"/>
          <w:lang w:val="en-US" w:eastAsia="zh-CN"/>
        </w:rPr>
        <w:t>104</w:t>
      </w:r>
      <w:r>
        <w:rPr>
          <w:rFonts w:hint="eastAsia" w:ascii="Times New Roman" w:hAnsi="Times New Roman" w:eastAsia="宋体" w:cs="Times New Roman"/>
          <w:kern w:val="0"/>
          <w:sz w:val="20"/>
          <w:szCs w:val="20"/>
          <w:lang w:val="en-US" w:eastAsia="zh-CN"/>
        </w:rPr>
        <w:t>-</w:t>
      </w:r>
      <w:r>
        <w:rPr>
          <w:rFonts w:ascii="Times New Roman" w:hAnsi="Times New Roman" w:eastAsia="Times New Roman" w:cs="Times New Roman"/>
          <w:kern w:val="0"/>
          <w:sz w:val="20"/>
          <w:szCs w:val="20"/>
          <w:lang w:eastAsia="en-US"/>
        </w:rPr>
        <w:t>e meeting, a</w:t>
      </w:r>
      <w:r>
        <w:rPr>
          <w:rFonts w:hint="eastAsia" w:ascii="Times New Roman" w:hAnsi="Times New Roman" w:eastAsia="宋体" w:cs="Times New Roman"/>
          <w:kern w:val="0"/>
          <w:sz w:val="20"/>
          <w:szCs w:val="20"/>
          <w:lang w:val="en-US" w:eastAsia="zh-CN"/>
        </w:rPr>
        <w:t xml:space="preserve"> </w:t>
      </w:r>
      <w:r>
        <w:rPr>
          <w:rFonts w:ascii="Times New Roman" w:hAnsi="Times New Roman" w:eastAsia="Times New Roman" w:cs="Times New Roman"/>
          <w:kern w:val="0"/>
          <w:sz w:val="20"/>
          <w:szCs w:val="20"/>
          <w:lang w:eastAsia="en-US"/>
        </w:rPr>
        <w:t>W</w:t>
      </w:r>
      <w:r>
        <w:rPr>
          <w:rFonts w:hint="eastAsia" w:ascii="Times New Roman" w:hAnsi="Times New Roman" w:cs="Times New Roman"/>
          <w:kern w:val="0"/>
          <w:sz w:val="20"/>
          <w:szCs w:val="20"/>
          <w:lang w:val="en-US" w:eastAsia="zh-CN"/>
        </w:rPr>
        <w:t>ay forward</w:t>
      </w:r>
      <w:r>
        <w:rPr>
          <w:rFonts w:ascii="Times New Roman" w:hAnsi="Times New Roman" w:eastAsia="Times New Roman" w:cs="Times New Roman"/>
          <w:kern w:val="0"/>
          <w:sz w:val="20"/>
          <w:szCs w:val="20"/>
          <w:lang w:eastAsia="en-US"/>
        </w:rPr>
        <w:t xml:space="preserve"> [1] has been approved on </w:t>
      </w:r>
      <w:r>
        <w:rPr>
          <w:rFonts w:hint="eastAsia" w:ascii="Times New Roman" w:hAnsi="Times New Roman" w:eastAsia="Times New Roman" w:cs="Times New Roman"/>
          <w:kern w:val="0"/>
          <w:sz w:val="20"/>
          <w:szCs w:val="20"/>
          <w:lang w:eastAsia="en-US"/>
        </w:rPr>
        <w:t>band definition for 5G broadcast in UHF</w:t>
      </w:r>
      <w:r>
        <w:rPr>
          <w:rFonts w:ascii="Times New Roman" w:hAnsi="Times New Roman" w:eastAsia="Times New Roman" w:cs="Times New Roman"/>
          <w:kern w:val="0"/>
          <w:sz w:val="20"/>
          <w:szCs w:val="20"/>
          <w:lang w:eastAsia="en-US"/>
        </w:rPr>
        <w:t xml:space="preserve">. </w:t>
      </w:r>
      <w:r>
        <w:rPr>
          <w:rFonts w:hint="eastAsia" w:eastAsia="宋体" w:cs="Times New Roman"/>
          <w:kern w:val="0"/>
          <w:sz w:val="20"/>
          <w:szCs w:val="20"/>
          <w:lang w:val="en-US" w:eastAsia="zh-CN"/>
        </w:rPr>
        <w:t xml:space="preserve">In this contribution, </w:t>
      </w:r>
      <w:r>
        <w:rPr>
          <w:rFonts w:hint="eastAsia" w:ascii="Times New Roman" w:hAnsi="Times New Roman" w:eastAsia="宋体" w:cs="Times New Roman"/>
          <w:kern w:val="0"/>
          <w:sz w:val="20"/>
          <w:szCs w:val="20"/>
          <w:lang w:val="en-US" w:eastAsia="zh-CN"/>
        </w:rPr>
        <w:t>we want to share further considerations on the band definition for LTE base</w:t>
      </w:r>
      <w:r>
        <w:rPr>
          <w:rFonts w:hint="eastAsia" w:cs="Times New Roman"/>
          <w:kern w:val="0"/>
          <w:sz w:val="20"/>
          <w:szCs w:val="20"/>
          <w:lang w:val="en-US" w:eastAsia="zh-CN"/>
        </w:rPr>
        <w:t>d</w:t>
      </w:r>
      <w:r>
        <w:rPr>
          <w:rFonts w:hint="eastAsia" w:ascii="Times New Roman" w:hAnsi="Times New Roman" w:eastAsia="宋体" w:cs="Times New Roman"/>
          <w:kern w:val="0"/>
          <w:sz w:val="20"/>
          <w:szCs w:val="20"/>
          <w:lang w:val="en-US" w:eastAsia="zh-CN"/>
        </w:rPr>
        <w:t xml:space="preserve"> broadcast.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pacing w:after="120" w:afterLines="50"/>
              <w:rPr>
                <w:sz w:val="20"/>
                <w:szCs w:val="20"/>
                <w:lang w:eastAsia="zh-CN"/>
              </w:rPr>
            </w:pPr>
            <w:r>
              <w:rPr>
                <w:b/>
                <w:sz w:val="20"/>
                <w:szCs w:val="20"/>
                <w:lang w:eastAsia="zh-CN"/>
              </w:rPr>
              <w:t>&lt;Way forward/Agreement&gt;</w:t>
            </w:r>
            <w:r>
              <w:rPr>
                <w:sz w:val="20"/>
                <w:szCs w:val="20"/>
                <w:lang w:eastAsia="zh-CN"/>
              </w:rPr>
              <w:t>:</w:t>
            </w:r>
          </w:p>
          <w:p>
            <w:pPr>
              <w:numPr>
                <w:ilvl w:val="0"/>
                <w:numId w:val="2"/>
              </w:numPr>
              <w:spacing w:after="120" w:afterLines="50"/>
              <w:rPr>
                <w:sz w:val="20"/>
                <w:szCs w:val="20"/>
                <w:lang w:eastAsia="zh-CN"/>
              </w:rPr>
            </w:pPr>
            <w:r>
              <w:rPr>
                <w:sz w:val="20"/>
                <w:szCs w:val="20"/>
                <w:lang w:eastAsia="zh-CN"/>
              </w:rPr>
              <w:t>The entire 470-[694/698/702] MHz range is covered by one single band or multiple sub-bands.</w:t>
            </w:r>
          </w:p>
          <w:p>
            <w:pPr>
              <w:numPr>
                <w:ilvl w:val="1"/>
                <w:numId w:val="2"/>
              </w:numPr>
              <w:spacing w:after="120" w:afterLines="50"/>
              <w:rPr>
                <w:sz w:val="20"/>
                <w:szCs w:val="20"/>
                <w:lang w:eastAsia="zh-CN"/>
              </w:rPr>
            </w:pPr>
            <w:r>
              <w:rPr>
                <w:sz w:val="20"/>
                <w:szCs w:val="20"/>
                <w:lang w:eastAsia="zh-CN"/>
              </w:rPr>
              <w:t>i.e., at least one band starts from 470 MHz and one band ends at 694/698/702 MHz. (The higher band edge is TBD)</w:t>
            </w:r>
          </w:p>
          <w:p>
            <w:pPr>
              <w:numPr>
                <w:ilvl w:val="0"/>
                <w:numId w:val="3"/>
              </w:numPr>
              <w:spacing w:after="120" w:afterLines="50"/>
              <w:rPr>
                <w:sz w:val="20"/>
                <w:szCs w:val="20"/>
                <w:lang w:eastAsia="zh-CN"/>
              </w:rPr>
            </w:pPr>
            <w:r>
              <w:rPr>
                <w:sz w:val="20"/>
                <w:szCs w:val="20"/>
                <w:lang w:eastAsia="zh-CN"/>
              </w:rPr>
              <w:t xml:space="preserve">For RAN4#104-bis meeting, companies are encouraged to study the following issues. </w:t>
            </w:r>
          </w:p>
          <w:p>
            <w:pPr>
              <w:numPr>
                <w:ilvl w:val="1"/>
                <w:numId w:val="3"/>
              </w:numPr>
              <w:spacing w:after="120" w:afterLines="50"/>
              <w:rPr>
                <w:sz w:val="20"/>
                <w:szCs w:val="20"/>
                <w:lang w:eastAsia="zh-CN"/>
              </w:rPr>
            </w:pPr>
            <w:r>
              <w:rPr>
                <w:sz w:val="20"/>
                <w:szCs w:val="20"/>
                <w:lang w:eastAsia="zh-CN"/>
              </w:rPr>
              <w:t>The feasibility of one large single band in terms of UE implementation in Rx filter, antenna or other components.</w:t>
            </w:r>
          </w:p>
          <w:p>
            <w:pPr>
              <w:numPr>
                <w:ilvl w:val="1"/>
                <w:numId w:val="3"/>
              </w:numPr>
              <w:spacing w:after="120" w:afterLines="50"/>
              <w:rPr>
                <w:sz w:val="20"/>
                <w:szCs w:val="20"/>
                <w:lang w:eastAsia="zh-CN"/>
              </w:rPr>
            </w:pPr>
            <w:r>
              <w:rPr>
                <w:sz w:val="20"/>
                <w:szCs w:val="20"/>
                <w:lang w:eastAsia="zh-CN"/>
              </w:rPr>
              <w:t>If one large band is not feasible in UE, what is the maximum singe band bandwidth and minimum number of sub-bands.</w:t>
            </w:r>
          </w:p>
          <w:p>
            <w:pPr>
              <w:numPr>
                <w:ilvl w:val="2"/>
                <w:numId w:val="3"/>
              </w:numPr>
              <w:spacing w:after="120" w:afterLines="50"/>
              <w:rPr>
                <w:sz w:val="20"/>
                <w:szCs w:val="20"/>
                <w:lang w:eastAsia="zh-CN"/>
              </w:rPr>
            </w:pPr>
            <w:r>
              <w:rPr>
                <w:sz w:val="20"/>
                <w:szCs w:val="20"/>
                <w:lang w:eastAsia="zh-CN"/>
              </w:rPr>
              <w:t>Discuss also tradeoff between smaller and larger bands.</w:t>
            </w:r>
          </w:p>
          <w:p>
            <w:pPr>
              <w:numPr>
                <w:ilvl w:val="1"/>
                <w:numId w:val="3"/>
              </w:numPr>
              <w:spacing w:after="120" w:afterLines="50"/>
              <w:rPr>
                <w:sz w:val="20"/>
                <w:szCs w:val="20"/>
                <w:lang w:eastAsia="zh-CN"/>
              </w:rPr>
            </w:pPr>
            <w:r>
              <w:rPr>
                <w:sz w:val="20"/>
                <w:szCs w:val="20"/>
                <w:lang w:eastAsia="zh-CN"/>
              </w:rPr>
              <w:t>The feasibility of defining a harmonized band/sub-band up to 694/698/702 MHz if the higher band edge 694/698/702 MHz is different among regions.</w:t>
            </w:r>
          </w:p>
          <w:p>
            <w:pPr>
              <w:numPr>
                <w:ilvl w:val="1"/>
                <w:numId w:val="3"/>
              </w:numPr>
              <w:spacing w:after="120" w:afterLines="50"/>
              <w:rPr>
                <w:rFonts w:ascii="Times New Roman" w:hAnsi="Times New Roman" w:eastAsia="Times New Roman" w:cs="Times New Roman"/>
                <w:kern w:val="0"/>
                <w:sz w:val="20"/>
                <w:szCs w:val="20"/>
                <w:vertAlign w:val="baseline"/>
                <w:lang w:eastAsia="en-US"/>
              </w:rPr>
            </w:pPr>
            <w:r>
              <w:rPr>
                <w:sz w:val="20"/>
                <w:szCs w:val="20"/>
                <w:lang w:eastAsia="zh-CN"/>
              </w:rPr>
              <w:t>Band(s) plan proposal and motivation</w:t>
            </w:r>
          </w:p>
        </w:tc>
      </w:tr>
    </w:tbl>
    <w:p>
      <w:pPr>
        <w:keepNext/>
        <w:widowControl w:val="0"/>
        <w:numPr>
          <w:ilvl w:val="0"/>
          <w:numId w:val="1"/>
        </w:numPr>
        <w:pBdr>
          <w:top w:val="single" w:color="auto" w:sz="12" w:space="1"/>
        </w:pBdr>
        <w:tabs>
          <w:tab w:val="left" w:pos="284"/>
        </w:tabs>
        <w:adjustRightInd w:val="0"/>
        <w:snapToGrid w:val="0"/>
        <w:spacing w:before="468" w:beforeLines="150" w:after="156" w:afterLines="50" w:line="300" w:lineRule="auto"/>
        <w:ind w:left="425" w:hanging="425"/>
        <w:jc w:val="both"/>
        <w:textAlignment w:val="baseline"/>
        <w:outlineLvl w:val="0"/>
        <w:rPr>
          <w:rFonts w:ascii="Helvetica" w:hAnsi="Helvetica" w:eastAsia="宋体" w:cs="Times New Roman"/>
          <w:b/>
          <w:bCs/>
          <w:color w:val="auto"/>
          <w:kern w:val="32"/>
          <w:sz w:val="28"/>
          <w:szCs w:val="32"/>
          <w:lang w:val="zh-CN" w:eastAsia="zh-CN" w:bidi="ar-SA"/>
        </w:rPr>
      </w:pPr>
      <w:r>
        <w:rPr>
          <w:rFonts w:hint="eastAsia" w:ascii="Helvetica" w:hAnsi="Helvetica" w:eastAsia="宋体" w:cs="Times New Roman"/>
          <w:b/>
          <w:bCs/>
          <w:color w:val="auto"/>
          <w:kern w:val="32"/>
          <w:sz w:val="28"/>
          <w:szCs w:val="32"/>
          <w:lang w:val="zh-CN" w:eastAsia="zh-CN" w:bidi="ar-SA"/>
        </w:rPr>
        <w:t>Discussion</w:t>
      </w:r>
    </w:p>
    <w:p>
      <w:pPr>
        <w:rPr>
          <w:rFonts w:hint="eastAsia"/>
          <w:sz w:val="20"/>
          <w:szCs w:val="20"/>
          <w:lang w:val="en-US" w:eastAsia="zh-CN"/>
        </w:rPr>
      </w:pPr>
      <w:r>
        <w:rPr>
          <w:rFonts w:hint="eastAsia"/>
          <w:sz w:val="20"/>
          <w:szCs w:val="20"/>
          <w:lang w:val="en-US" w:eastAsia="zh-CN"/>
        </w:rPr>
        <w:t>In the past years, DTT system (digital terrestrial television) has been deployed globally. As highlighted in the previous discussion in RAN4 that legacy DTT receiver might be good reference for LTE based broadcast in 3GPP. As shown in the following figure, at least based on our understanding so far, the legacy DTT receiver is not supposed to receive the whole band from 470MHz to 710MHz into the receiver, instead UE would have dedicated 8MHz/7MHz/6MHz receiver to filter the signal and decode it for vision, sound etc. This is somehow different from the legacy 3GPP specified bands where UE is supposed to receive the all signals within the bands if the UE duplex is sufficient to cover the whole band. We could understand the concerns from UE chipset vendors that single wide band could cause lots of implementation challenges and the existing design for n71/B71 could not be fully utilized which is not good from the economic wise. However from our understanding, the most straight forward approach to implement this feature might just follow the legacy DTT receiver design as shown in Figure 1 where dedicated 8MHz/7MHz/6MHz filter are implemented with RF retunning to receive the signals from different DTT channel. Indeed if we follow the legacy DTT receiver design, whether it</w:t>
      </w:r>
      <w:r>
        <w:rPr>
          <w:rFonts w:hint="default"/>
          <w:sz w:val="20"/>
          <w:szCs w:val="20"/>
          <w:lang w:val="en-US" w:eastAsia="zh-CN"/>
        </w:rPr>
        <w:t>’</w:t>
      </w:r>
      <w:r>
        <w:rPr>
          <w:rFonts w:hint="eastAsia"/>
          <w:sz w:val="20"/>
          <w:szCs w:val="20"/>
          <w:lang w:val="en-US" w:eastAsia="zh-CN"/>
        </w:rPr>
        <w:t>s single wide band or multiple-subband, this doesn</w:t>
      </w:r>
      <w:r>
        <w:rPr>
          <w:rFonts w:hint="default"/>
          <w:sz w:val="20"/>
          <w:szCs w:val="20"/>
          <w:lang w:val="en-US" w:eastAsia="zh-CN"/>
        </w:rPr>
        <w:t>’</w:t>
      </w:r>
      <w:r>
        <w:rPr>
          <w:rFonts w:hint="eastAsia"/>
          <w:sz w:val="20"/>
          <w:szCs w:val="20"/>
          <w:lang w:val="en-US" w:eastAsia="zh-CN"/>
        </w:rPr>
        <w:t>t make much different from RAN4 perspective, maybe from RAN2 signalling perspective, single wide band definition could simplify signalling design at the end. Based on the above considerations, we propose to define the single band with reusing the legacy DTT receiver design.</w:t>
      </w:r>
    </w:p>
    <w:p>
      <w:pPr>
        <w:keepNext w:val="0"/>
        <w:keepLines w:val="0"/>
        <w:pageBreakBefore w:val="0"/>
        <w:widowControl w:val="0"/>
        <w:kinsoku/>
        <w:wordWrap/>
        <w:overflowPunct/>
        <w:topLinePunct w:val="0"/>
        <w:autoSpaceDE/>
        <w:autoSpaceDN/>
        <w:bidi w:val="0"/>
        <w:adjustRightInd/>
        <w:snapToGrid/>
        <w:spacing w:before="60" w:after="120"/>
        <w:textAlignment w:val="auto"/>
        <w:rPr>
          <w:rFonts w:hint="eastAsia"/>
          <w:sz w:val="20"/>
          <w:szCs w:val="20"/>
          <w:lang w:val="en-US" w:eastAsia="zh-CN"/>
        </w:rPr>
      </w:pPr>
      <w:r>
        <w:rPr>
          <w:rFonts w:hint="eastAsia" w:ascii="Times New Roman" w:hAnsi="Times New Roman" w:eastAsia="Times New Roman" w:cs="Times New Roman"/>
          <w:b/>
          <w:bCs/>
          <w:kern w:val="0"/>
          <w:sz w:val="20"/>
          <w:szCs w:val="20"/>
          <w:lang w:val="en-US" w:eastAsia="zh-CN"/>
        </w:rPr>
        <w:t>Proposal 1:</w:t>
      </w:r>
      <w:r>
        <w:rPr>
          <w:rFonts w:hint="eastAsia" w:eastAsia="Times New Roman" w:cs="Times New Roman"/>
          <w:b/>
          <w:bCs/>
          <w:kern w:val="0"/>
          <w:sz w:val="20"/>
          <w:szCs w:val="20"/>
          <w:lang w:val="en-US" w:eastAsia="zh-CN"/>
        </w:rPr>
        <w:t xml:space="preserve"> </w:t>
      </w:r>
      <w:r>
        <w:rPr>
          <w:rFonts w:hint="eastAsia"/>
          <w:sz w:val="20"/>
          <w:szCs w:val="20"/>
          <w:lang w:val="en-US" w:eastAsia="zh-CN"/>
        </w:rPr>
        <w:t>to define the single wide band with reusing the legacy DTT receiver design.</w:t>
      </w:r>
    </w:p>
    <w:p>
      <w:pPr>
        <w:keepNext w:val="0"/>
        <w:keepLines w:val="0"/>
        <w:pageBreakBefore w:val="0"/>
        <w:widowControl w:val="0"/>
        <w:kinsoku/>
        <w:wordWrap/>
        <w:overflowPunct/>
        <w:topLinePunct w:val="0"/>
        <w:autoSpaceDE/>
        <w:autoSpaceDN/>
        <w:bidi w:val="0"/>
        <w:adjustRightInd/>
        <w:snapToGrid/>
        <w:spacing w:before="60" w:after="120"/>
        <w:jc w:val="center"/>
        <w:textAlignment w:val="auto"/>
      </w:pPr>
      <w:r>
        <w:drawing>
          <wp:inline distT="0" distB="0" distL="114300" distR="114300">
            <wp:extent cx="8172450" cy="1743075"/>
            <wp:effectExtent l="0" t="0" r="11430" b="952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7"/>
                    <a:stretch>
                      <a:fillRect/>
                    </a:stretch>
                  </pic:blipFill>
                  <pic:spPr>
                    <a:xfrm>
                      <a:off x="0" y="0"/>
                      <a:ext cx="8172450" cy="174307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60" w:after="120"/>
        <w:jc w:val="center"/>
        <w:textAlignment w:val="auto"/>
        <w:rPr>
          <w:rFonts w:hint="eastAsia"/>
          <w:b/>
          <w:bCs/>
          <w:sz w:val="20"/>
          <w:szCs w:val="20"/>
          <w:lang w:val="en-US" w:eastAsia="zh-CN"/>
        </w:rPr>
      </w:pPr>
      <w:r>
        <w:rPr>
          <w:rFonts w:hint="eastAsia"/>
          <w:b/>
          <w:bCs/>
          <w:sz w:val="20"/>
          <w:szCs w:val="20"/>
          <w:lang w:val="en-US" w:eastAsia="zh-CN"/>
        </w:rPr>
        <w:t>Figure 1: the generic UE RF architecture for DTT service</w:t>
      </w:r>
    </w:p>
    <w:p>
      <w:pPr>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In addition, during the last RAN4 meeting, one important issue for the further discussion is about the upper freq</w:t>
      </w:r>
      <w:r>
        <w:rPr>
          <w:rFonts w:hint="eastAsia" w:cs="Times New Roman"/>
          <w:sz w:val="20"/>
          <w:szCs w:val="20"/>
          <w:lang w:val="en-US" w:eastAsia="zh-CN"/>
        </w:rPr>
        <w:t>uency</w:t>
      </w:r>
      <w:r>
        <w:rPr>
          <w:rFonts w:hint="eastAsia" w:ascii="Times New Roman" w:hAnsi="Times New Roman" w:eastAsia="宋体" w:cs="Times New Roman"/>
          <w:sz w:val="20"/>
          <w:szCs w:val="20"/>
          <w:lang w:val="en-US" w:eastAsia="zh-CN"/>
        </w:rPr>
        <w:t xml:space="preserve"> limit for this LTE based broadcast band. Considering the usage of band n28 globally, it</w:t>
      </w:r>
      <w:r>
        <w:rPr>
          <w:rFonts w:hint="default" w:cs="Times New Roman"/>
          <w:sz w:val="20"/>
          <w:szCs w:val="20"/>
          <w:lang w:val="en-US" w:eastAsia="zh-CN"/>
        </w:rPr>
        <w:t>’</w:t>
      </w:r>
      <w:r>
        <w:rPr>
          <w:rFonts w:hint="eastAsia" w:ascii="Times New Roman" w:hAnsi="Times New Roman" w:eastAsia="宋体" w:cs="Times New Roman"/>
          <w:sz w:val="20"/>
          <w:szCs w:val="20"/>
          <w:lang w:val="en-US" w:eastAsia="zh-CN"/>
        </w:rPr>
        <w:t xml:space="preserve">s better to set the upper frequency limit of LTE based broadcast lower than 703MHz firstly. According to UHF spectrum allocated to terrestrial broadcast systems in different ITU regions as per ITU recommendations and other regional and local regulations, as summarized in the table [2], the frequency band 470-694 MHz for 7/8 MHz carrier and the frequency band 470-698 MHz for 6 MHz carrier could be applied. For example, if we want to deploy the 8MHz carrier from 694MHz to 702MHz, the more stringent BS RF requirement should be specified for the protection of band n28. This should be similar for 7MHz deployment within 694-701MHz. </w:t>
      </w:r>
    </w:p>
    <w:p>
      <w:pPr>
        <w:keepNext w:val="0"/>
        <w:keepLines w:val="0"/>
        <w:pageBreakBefore w:val="0"/>
        <w:widowControl w:val="0"/>
        <w:kinsoku/>
        <w:wordWrap/>
        <w:overflowPunct/>
        <w:topLinePunct w:val="0"/>
        <w:autoSpaceDE/>
        <w:autoSpaceDN/>
        <w:bidi w:val="0"/>
        <w:adjustRightInd/>
        <w:snapToGrid/>
        <w:spacing w:before="60" w:after="120"/>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Based on above considerations, it should be reasonable to define the upper frequency limit as 698MHz with some guard reserved for the protection of adjacent band n28. </w:t>
      </w:r>
    </w:p>
    <w:p>
      <w:pPr>
        <w:numPr>
          <w:ilvl w:val="0"/>
          <w:numId w:val="0"/>
        </w:numPr>
        <w:jc w:val="center"/>
      </w:pPr>
      <w:r>
        <w:drawing>
          <wp:inline distT="0" distB="0" distL="114300" distR="114300">
            <wp:extent cx="8853805" cy="2150745"/>
            <wp:effectExtent l="0" t="0" r="635" b="133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8853805" cy="2150745"/>
                    </a:xfrm>
                    <a:prstGeom prst="rect">
                      <a:avLst/>
                    </a:prstGeom>
                    <a:noFill/>
                    <a:ln>
                      <a:noFill/>
                    </a:ln>
                  </pic:spPr>
                </pic:pic>
              </a:graphicData>
            </a:graphic>
          </wp:inline>
        </w:drawing>
      </w:r>
    </w:p>
    <w:p>
      <w:pPr>
        <w:numPr>
          <w:ilvl w:val="0"/>
          <w:numId w:val="0"/>
        </w:numPr>
        <w:jc w:val="center"/>
        <w:rPr>
          <w:rFonts w:hint="default" w:eastAsia="宋体"/>
          <w:b/>
          <w:bCs/>
          <w:sz w:val="20"/>
          <w:szCs w:val="20"/>
          <w:lang w:val="en-US" w:eastAsia="zh-CN"/>
        </w:rPr>
        <w:sectPr>
          <w:pgSz w:w="16838" w:h="11906" w:orient="landscape"/>
          <w:pgMar w:top="1304" w:right="1440" w:bottom="1304" w:left="144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eastAsia="宋体"/>
          <w:b/>
          <w:bCs/>
          <w:sz w:val="20"/>
          <w:szCs w:val="20"/>
          <w:lang w:val="en-US" w:eastAsia="zh-CN"/>
        </w:rPr>
        <w:t xml:space="preserve">Figure </w:t>
      </w:r>
      <w:r>
        <w:rPr>
          <w:rFonts w:hint="eastAsia"/>
          <w:b/>
          <w:bCs/>
          <w:sz w:val="20"/>
          <w:szCs w:val="20"/>
          <w:lang w:val="en-US" w:eastAsia="zh-CN"/>
        </w:rPr>
        <w:t>2:</w:t>
      </w:r>
      <w:r>
        <w:rPr>
          <w:rFonts w:hint="eastAsia" w:eastAsia="宋体"/>
          <w:b/>
          <w:bCs/>
          <w:sz w:val="20"/>
          <w:szCs w:val="20"/>
          <w:lang w:val="en-US" w:eastAsia="zh-CN"/>
        </w:rPr>
        <w:t xml:space="preserve"> illustration of DTT spectrum and its surrounding/overlapping IMT band</w:t>
      </w:r>
    </w:p>
    <w:p>
      <w:pPr>
        <w:rPr>
          <w:rFonts w:hint="eastAsia" w:ascii="Times New Roman" w:hAnsi="Times New Roman" w:eastAsia="宋体" w:cs="Times New Roman"/>
          <w:sz w:val="20"/>
          <w:szCs w:val="20"/>
          <w:lang w:val="en-US" w:eastAsia="zh-CN"/>
        </w:rPr>
      </w:pPr>
    </w:p>
    <w:p>
      <w:pPr>
        <w:pStyle w:val="12"/>
        <w:keepNext/>
        <w:keepLines/>
        <w:pageBreakBefore w:val="0"/>
        <w:widowControl/>
        <w:kinsoku/>
        <w:wordWrap/>
        <w:overflowPunct/>
        <w:topLinePunct w:val="0"/>
        <w:autoSpaceDE/>
        <w:autoSpaceDN/>
        <w:bidi w:val="0"/>
        <w:adjustRightInd/>
        <w:snapToGrid w:val="0"/>
        <w:spacing w:after="120"/>
        <w:jc w:val="center"/>
        <w:textAlignment w:val="auto"/>
        <w:rPr>
          <w:rFonts w:hint="eastAsia" w:ascii="Times New Roman" w:hAnsi="Times New Roman" w:eastAsia="宋体" w:cs="Times New Roman"/>
          <w:sz w:val="20"/>
          <w:szCs w:val="20"/>
          <w:lang w:val="en-US" w:eastAsia="zh-CN"/>
        </w:rPr>
      </w:pPr>
      <w:r>
        <w:rPr>
          <w:sz w:val="20"/>
          <w:szCs w:val="20"/>
        </w:rPr>
        <w:t>T</w:t>
      </w:r>
      <w:r>
        <w:rPr>
          <w:rFonts w:eastAsia="宋体" w:cs="Times New Roman"/>
          <w:kern w:val="0"/>
          <w:sz w:val="20"/>
          <w:szCs w:val="20"/>
          <w:lang w:val="en-GB"/>
        </w:rPr>
        <w:t xml:space="preserve">able </w:t>
      </w:r>
      <w:r>
        <w:rPr>
          <w:rFonts w:hint="eastAsia" w:eastAsia="宋体" w:cs="Times New Roman"/>
          <w:kern w:val="0"/>
          <w:sz w:val="20"/>
          <w:szCs w:val="20"/>
          <w:lang w:val="en-US" w:eastAsia="zh-CN"/>
        </w:rPr>
        <w:t>2-1:</w:t>
      </w:r>
      <w:r>
        <w:rPr>
          <w:rFonts w:eastAsia="宋体" w:cs="Times New Roman"/>
          <w:kern w:val="0"/>
          <w:sz w:val="20"/>
          <w:szCs w:val="20"/>
          <w:lang w:val="en-GB"/>
        </w:rPr>
        <w:t xml:space="preserve"> </w:t>
      </w:r>
      <w:r>
        <w:rPr>
          <w:b/>
          <w:bCs/>
          <w:iCs/>
          <w:sz w:val="20"/>
          <w:szCs w:val="20"/>
        </w:rPr>
        <w:t>UHF Band for Terrestrial Broadcast</w:t>
      </w:r>
      <w:r>
        <w:rPr>
          <w:rFonts w:hint="eastAsia"/>
          <w:b/>
          <w:bCs/>
          <w:iCs/>
          <w:sz w:val="20"/>
          <w:szCs w:val="20"/>
          <w:lang w:val="en-US" w:eastAsia="zh-CN"/>
        </w:rPr>
        <w:t xml:space="preserve"> in different regions </w:t>
      </w:r>
    </w:p>
    <w:tbl>
      <w:tblPr>
        <w:tblStyle w:val="7"/>
        <w:tblW w:w="8388" w:type="dxa"/>
        <w:jc w:val="center"/>
        <w:tblBorders>
          <w:top w:val="single" w:color="7F7F7F" w:sz="4" w:space="0"/>
          <w:left w:val="none" w:color="auto" w:sz="0" w:space="0"/>
          <w:bottom w:val="single" w:color="7F7F7F"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648"/>
        <w:gridCol w:w="3510"/>
        <w:gridCol w:w="2230"/>
      </w:tblGrid>
      <w:tr>
        <w:tblPrEx>
          <w:tblBorders>
            <w:top w:val="single" w:color="7F7F7F" w:sz="4" w:space="0"/>
            <w:left w:val="none" w:color="auto" w:sz="0" w:space="0"/>
            <w:bottom w:val="single" w:color="7F7F7F"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648" w:type="dxa"/>
            <w:tcBorders>
              <w:top w:val="single" w:color="7F7F7F" w:sz="4" w:space="0"/>
              <w:left w:val="single" w:color="7F7F7F" w:sz="4" w:space="0"/>
              <w:bottom w:val="single" w:color="7F7F7F" w:sz="4" w:space="0"/>
              <w:right w:val="single" w:color="7F7F7F" w:sz="4" w:space="0"/>
            </w:tcBorders>
            <w:shd w:val="clear" w:color="auto" w:fill="auto"/>
            <w:vAlign w:val="center"/>
          </w:tcPr>
          <w:p>
            <w:pPr>
              <w:jc w:val="center"/>
              <w:rPr>
                <w:b/>
                <w:bCs/>
                <w:iCs/>
                <w:sz w:val="20"/>
                <w:szCs w:val="20"/>
              </w:rPr>
            </w:pPr>
            <w:r>
              <w:rPr>
                <w:b/>
                <w:bCs/>
                <w:iCs/>
                <w:sz w:val="20"/>
                <w:szCs w:val="20"/>
              </w:rPr>
              <w:t>Region/Country</w:t>
            </w:r>
          </w:p>
        </w:tc>
        <w:tc>
          <w:tcPr>
            <w:tcW w:w="3510" w:type="dxa"/>
            <w:tcBorders>
              <w:top w:val="single" w:color="7F7F7F" w:sz="4" w:space="0"/>
              <w:left w:val="single" w:color="7F7F7F" w:sz="4" w:space="0"/>
              <w:bottom w:val="single" w:color="7F7F7F" w:sz="4" w:space="0"/>
              <w:right w:val="single" w:color="7F7F7F" w:sz="4" w:space="0"/>
            </w:tcBorders>
            <w:shd w:val="clear" w:color="auto" w:fill="auto"/>
            <w:vAlign w:val="center"/>
          </w:tcPr>
          <w:p>
            <w:pPr>
              <w:jc w:val="center"/>
              <w:rPr>
                <w:b/>
                <w:bCs/>
                <w:iCs/>
                <w:sz w:val="20"/>
                <w:szCs w:val="20"/>
              </w:rPr>
            </w:pPr>
            <w:r>
              <w:rPr>
                <w:b/>
                <w:bCs/>
                <w:iCs/>
                <w:sz w:val="20"/>
                <w:szCs w:val="20"/>
              </w:rPr>
              <w:t>UHF Band for Terrestrial Broadcast</w:t>
            </w:r>
          </w:p>
        </w:tc>
        <w:tc>
          <w:tcPr>
            <w:tcW w:w="2230" w:type="dxa"/>
            <w:tcBorders>
              <w:top w:val="single" w:color="7F7F7F" w:sz="4" w:space="0"/>
              <w:left w:val="single" w:color="7F7F7F" w:sz="4" w:space="0"/>
              <w:bottom w:val="single" w:color="7F7F7F" w:sz="4" w:space="0"/>
              <w:right w:val="single" w:color="7F7F7F" w:sz="4" w:space="0"/>
            </w:tcBorders>
            <w:shd w:val="clear" w:color="auto" w:fill="auto"/>
            <w:vAlign w:val="center"/>
          </w:tcPr>
          <w:p>
            <w:pPr>
              <w:jc w:val="center"/>
              <w:rPr>
                <w:b/>
                <w:bCs/>
                <w:iCs/>
                <w:sz w:val="20"/>
                <w:szCs w:val="20"/>
              </w:rPr>
            </w:pPr>
            <w:r>
              <w:rPr>
                <w:b/>
                <w:bCs/>
                <w:iCs/>
                <w:sz w:val="20"/>
                <w:szCs w:val="20"/>
              </w:rPr>
              <w:t>Channel Bandwidth</w:t>
            </w:r>
          </w:p>
        </w:tc>
      </w:tr>
      <w:tr>
        <w:tblPrEx>
          <w:tblBorders>
            <w:top w:val="single" w:color="7F7F7F" w:sz="4" w:space="0"/>
            <w:left w:val="none" w:color="auto" w:sz="0" w:space="0"/>
            <w:bottom w:val="single" w:color="7F7F7F"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648" w:type="dxa"/>
            <w:tcBorders>
              <w:left w:val="single" w:color="7F7F7F" w:sz="4" w:space="0"/>
              <w:right w:val="single" w:color="7F7F7F" w:sz="4" w:space="0"/>
            </w:tcBorders>
            <w:shd w:val="clear" w:color="auto" w:fill="auto"/>
            <w:vAlign w:val="center"/>
          </w:tcPr>
          <w:p>
            <w:pPr>
              <w:jc w:val="center"/>
              <w:rPr>
                <w:iCs/>
                <w:sz w:val="20"/>
                <w:szCs w:val="20"/>
              </w:rPr>
            </w:pPr>
            <w:r>
              <w:rPr>
                <w:iCs/>
                <w:sz w:val="20"/>
                <w:szCs w:val="20"/>
              </w:rPr>
              <w:t>US &amp; Canada</w:t>
            </w:r>
          </w:p>
        </w:tc>
        <w:tc>
          <w:tcPr>
            <w:tcW w:w="3510" w:type="dxa"/>
            <w:tcBorders>
              <w:left w:val="single" w:color="7F7F7F" w:sz="4" w:space="0"/>
              <w:right w:val="single" w:color="7F7F7F" w:sz="4" w:space="0"/>
            </w:tcBorders>
            <w:shd w:val="clear" w:color="auto" w:fill="auto"/>
            <w:vAlign w:val="center"/>
          </w:tcPr>
          <w:p>
            <w:pPr>
              <w:jc w:val="center"/>
              <w:rPr>
                <w:iCs/>
                <w:sz w:val="20"/>
                <w:szCs w:val="20"/>
              </w:rPr>
            </w:pPr>
            <w:r>
              <w:rPr>
                <w:iCs/>
                <w:sz w:val="20"/>
                <w:szCs w:val="20"/>
              </w:rPr>
              <w:t>470 – 608 MHz.</w:t>
            </w:r>
          </w:p>
        </w:tc>
        <w:tc>
          <w:tcPr>
            <w:tcW w:w="2230" w:type="dxa"/>
            <w:tcBorders>
              <w:left w:val="single" w:color="7F7F7F" w:sz="4" w:space="0"/>
              <w:right w:val="single" w:color="7F7F7F" w:sz="4" w:space="0"/>
            </w:tcBorders>
            <w:shd w:val="clear" w:color="auto" w:fill="auto"/>
            <w:vAlign w:val="center"/>
          </w:tcPr>
          <w:p>
            <w:pPr>
              <w:jc w:val="center"/>
              <w:rPr>
                <w:iCs/>
                <w:sz w:val="20"/>
                <w:szCs w:val="20"/>
              </w:rPr>
            </w:pPr>
            <w:r>
              <w:rPr>
                <w:iCs/>
                <w:sz w:val="20"/>
                <w:szCs w:val="20"/>
              </w:rPr>
              <w:t>6 MHz</w:t>
            </w:r>
          </w:p>
        </w:tc>
      </w:tr>
      <w:tr>
        <w:tblPrEx>
          <w:tblBorders>
            <w:top w:val="single" w:color="7F7F7F" w:sz="4" w:space="0"/>
            <w:left w:val="none" w:color="auto" w:sz="0" w:space="0"/>
            <w:bottom w:val="single" w:color="7F7F7F"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648" w:type="dxa"/>
            <w:tcBorders>
              <w:top w:val="single" w:color="7F7F7F" w:sz="4" w:space="0"/>
              <w:left w:val="single" w:color="7F7F7F" w:sz="4" w:space="0"/>
              <w:bottom w:val="single" w:color="7F7F7F" w:sz="4" w:space="0"/>
              <w:right w:val="single" w:color="7F7F7F" w:sz="4" w:space="0"/>
            </w:tcBorders>
            <w:shd w:val="clear" w:color="auto" w:fill="auto"/>
            <w:vAlign w:val="center"/>
          </w:tcPr>
          <w:p>
            <w:pPr>
              <w:jc w:val="center"/>
              <w:rPr>
                <w:iCs/>
                <w:sz w:val="20"/>
                <w:szCs w:val="20"/>
              </w:rPr>
            </w:pPr>
            <w:r>
              <w:rPr>
                <w:iCs/>
                <w:sz w:val="20"/>
                <w:szCs w:val="20"/>
              </w:rPr>
              <w:t>India &amp; NZ</w:t>
            </w:r>
          </w:p>
        </w:tc>
        <w:tc>
          <w:tcPr>
            <w:tcW w:w="3510" w:type="dxa"/>
            <w:tcBorders>
              <w:top w:val="single" w:color="7F7F7F" w:sz="4" w:space="0"/>
              <w:left w:val="single" w:color="7F7F7F" w:sz="4" w:space="0"/>
              <w:bottom w:val="single" w:color="7F7F7F" w:sz="4" w:space="0"/>
              <w:right w:val="single" w:color="7F7F7F" w:sz="4" w:space="0"/>
            </w:tcBorders>
            <w:shd w:val="clear" w:color="auto" w:fill="auto"/>
            <w:vAlign w:val="center"/>
          </w:tcPr>
          <w:p>
            <w:pPr>
              <w:jc w:val="center"/>
              <w:rPr>
                <w:iCs/>
                <w:sz w:val="20"/>
                <w:szCs w:val="20"/>
              </w:rPr>
            </w:pPr>
            <w:r>
              <w:rPr>
                <w:iCs/>
                <w:sz w:val="20"/>
                <w:szCs w:val="20"/>
              </w:rPr>
              <w:t>470 – 612 MHz</w:t>
            </w:r>
          </w:p>
        </w:tc>
        <w:tc>
          <w:tcPr>
            <w:tcW w:w="2230" w:type="dxa"/>
            <w:tcBorders>
              <w:top w:val="single" w:color="7F7F7F" w:sz="4" w:space="0"/>
              <w:left w:val="single" w:color="7F7F7F" w:sz="4" w:space="0"/>
              <w:bottom w:val="single" w:color="7F7F7F" w:sz="4" w:space="0"/>
              <w:right w:val="single" w:color="7F7F7F" w:sz="4" w:space="0"/>
            </w:tcBorders>
            <w:shd w:val="clear" w:color="auto" w:fill="auto"/>
            <w:vAlign w:val="center"/>
          </w:tcPr>
          <w:p>
            <w:pPr>
              <w:jc w:val="center"/>
              <w:rPr>
                <w:iCs/>
                <w:sz w:val="20"/>
                <w:szCs w:val="20"/>
              </w:rPr>
            </w:pPr>
            <w:r>
              <w:rPr>
                <w:iCs/>
                <w:sz w:val="20"/>
                <w:szCs w:val="20"/>
              </w:rPr>
              <w:t>6/7/8 MHz</w:t>
            </w:r>
          </w:p>
        </w:tc>
      </w:tr>
      <w:tr>
        <w:tblPrEx>
          <w:tblBorders>
            <w:top w:val="single" w:color="7F7F7F" w:sz="4" w:space="0"/>
            <w:left w:val="none" w:color="auto" w:sz="0" w:space="0"/>
            <w:bottom w:val="single" w:color="7F7F7F"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648" w:type="dxa"/>
            <w:tcBorders>
              <w:left w:val="single" w:color="7F7F7F" w:sz="4" w:space="0"/>
              <w:right w:val="single" w:color="7F7F7F" w:sz="4" w:space="0"/>
            </w:tcBorders>
            <w:shd w:val="clear" w:color="auto" w:fill="auto"/>
            <w:vAlign w:val="center"/>
          </w:tcPr>
          <w:p>
            <w:pPr>
              <w:jc w:val="center"/>
              <w:rPr>
                <w:iCs/>
                <w:sz w:val="20"/>
                <w:szCs w:val="20"/>
              </w:rPr>
            </w:pPr>
            <w:r>
              <w:rPr>
                <w:iCs/>
                <w:sz w:val="20"/>
                <w:szCs w:val="20"/>
              </w:rPr>
              <w:t>EMEA, China, Mexico, Latin America and Australia</w:t>
            </w:r>
          </w:p>
        </w:tc>
        <w:tc>
          <w:tcPr>
            <w:tcW w:w="3510" w:type="dxa"/>
            <w:tcBorders>
              <w:left w:val="single" w:color="7F7F7F" w:sz="4" w:space="0"/>
              <w:right w:val="single" w:color="7F7F7F" w:sz="4" w:space="0"/>
            </w:tcBorders>
            <w:shd w:val="clear" w:color="auto" w:fill="auto"/>
            <w:vAlign w:val="center"/>
          </w:tcPr>
          <w:p>
            <w:pPr>
              <w:jc w:val="center"/>
              <w:rPr>
                <w:iCs/>
                <w:sz w:val="20"/>
                <w:szCs w:val="20"/>
              </w:rPr>
            </w:pPr>
            <w:r>
              <w:rPr>
                <w:iCs/>
                <w:sz w:val="20"/>
                <w:szCs w:val="20"/>
              </w:rPr>
              <w:t>470 – 694/698 MHz</w:t>
            </w:r>
          </w:p>
        </w:tc>
        <w:tc>
          <w:tcPr>
            <w:tcW w:w="2230" w:type="dxa"/>
            <w:tcBorders>
              <w:left w:val="single" w:color="7F7F7F" w:sz="4" w:space="0"/>
              <w:right w:val="single" w:color="7F7F7F" w:sz="4" w:space="0"/>
            </w:tcBorders>
            <w:shd w:val="clear" w:color="auto" w:fill="auto"/>
            <w:vAlign w:val="center"/>
          </w:tcPr>
          <w:p>
            <w:pPr>
              <w:jc w:val="center"/>
              <w:rPr>
                <w:iCs/>
                <w:sz w:val="20"/>
                <w:szCs w:val="20"/>
              </w:rPr>
            </w:pPr>
            <w:r>
              <w:rPr>
                <w:iCs/>
                <w:sz w:val="20"/>
                <w:szCs w:val="20"/>
              </w:rPr>
              <w:t>6/7/8 MHz</w:t>
            </w:r>
          </w:p>
        </w:tc>
      </w:tr>
      <w:tr>
        <w:tblPrEx>
          <w:tblBorders>
            <w:top w:val="single" w:color="7F7F7F" w:sz="4" w:space="0"/>
            <w:left w:val="none" w:color="auto" w:sz="0" w:space="0"/>
            <w:bottom w:val="single" w:color="7F7F7F"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648" w:type="dxa"/>
            <w:tcBorders>
              <w:top w:val="single" w:color="7F7F7F" w:sz="4" w:space="0"/>
              <w:left w:val="single" w:color="7F7F7F" w:sz="4" w:space="0"/>
              <w:bottom w:val="single" w:color="7F7F7F" w:sz="4" w:space="0"/>
              <w:right w:val="single" w:color="7F7F7F" w:sz="4" w:space="0"/>
            </w:tcBorders>
            <w:shd w:val="clear" w:color="auto" w:fill="auto"/>
            <w:vAlign w:val="center"/>
          </w:tcPr>
          <w:p>
            <w:pPr>
              <w:jc w:val="center"/>
              <w:rPr>
                <w:iCs/>
                <w:sz w:val="20"/>
                <w:szCs w:val="20"/>
              </w:rPr>
            </w:pPr>
            <w:r>
              <w:rPr>
                <w:iCs/>
                <w:sz w:val="20"/>
                <w:szCs w:val="20"/>
              </w:rPr>
              <w:t>Japan</w:t>
            </w:r>
          </w:p>
        </w:tc>
        <w:tc>
          <w:tcPr>
            <w:tcW w:w="3510" w:type="dxa"/>
            <w:tcBorders>
              <w:top w:val="single" w:color="7F7F7F" w:sz="4" w:space="0"/>
              <w:left w:val="single" w:color="7F7F7F" w:sz="4" w:space="0"/>
              <w:bottom w:val="single" w:color="7F7F7F" w:sz="4" w:space="0"/>
              <w:right w:val="single" w:color="7F7F7F" w:sz="4" w:space="0"/>
            </w:tcBorders>
            <w:shd w:val="clear" w:color="auto" w:fill="auto"/>
            <w:vAlign w:val="center"/>
          </w:tcPr>
          <w:p>
            <w:pPr>
              <w:jc w:val="center"/>
              <w:rPr>
                <w:iCs/>
                <w:sz w:val="20"/>
                <w:szCs w:val="20"/>
              </w:rPr>
            </w:pPr>
            <w:r>
              <w:rPr>
                <w:iCs/>
                <w:sz w:val="20"/>
                <w:szCs w:val="20"/>
              </w:rPr>
              <w:t>470 - 710 MHz</w:t>
            </w:r>
          </w:p>
        </w:tc>
        <w:tc>
          <w:tcPr>
            <w:tcW w:w="2230" w:type="dxa"/>
            <w:tcBorders>
              <w:top w:val="single" w:color="7F7F7F" w:sz="4" w:space="0"/>
              <w:left w:val="single" w:color="7F7F7F" w:sz="4" w:space="0"/>
              <w:bottom w:val="single" w:color="7F7F7F" w:sz="4" w:space="0"/>
              <w:right w:val="single" w:color="7F7F7F" w:sz="4" w:space="0"/>
            </w:tcBorders>
            <w:shd w:val="clear" w:color="auto" w:fill="auto"/>
            <w:vAlign w:val="center"/>
          </w:tcPr>
          <w:p>
            <w:pPr>
              <w:jc w:val="center"/>
              <w:rPr>
                <w:iCs/>
                <w:sz w:val="20"/>
                <w:szCs w:val="20"/>
              </w:rPr>
            </w:pPr>
            <w:r>
              <w:rPr>
                <w:iCs/>
                <w:sz w:val="20"/>
                <w:szCs w:val="20"/>
              </w:rPr>
              <w:t>6 MHz</w:t>
            </w:r>
          </w:p>
        </w:tc>
      </w:tr>
      <w:tr>
        <w:tblPrEx>
          <w:tblBorders>
            <w:top w:val="single" w:color="7F7F7F" w:sz="4" w:space="0"/>
            <w:left w:val="none" w:color="auto" w:sz="0" w:space="0"/>
            <w:bottom w:val="single" w:color="7F7F7F"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648" w:type="dxa"/>
            <w:tcBorders>
              <w:left w:val="single" w:color="7F7F7F" w:sz="4" w:space="0"/>
              <w:right w:val="single" w:color="7F7F7F" w:sz="4" w:space="0"/>
            </w:tcBorders>
            <w:shd w:val="clear" w:color="auto" w:fill="auto"/>
            <w:vAlign w:val="center"/>
          </w:tcPr>
          <w:p>
            <w:pPr>
              <w:jc w:val="center"/>
              <w:rPr>
                <w:iCs/>
                <w:sz w:val="20"/>
                <w:szCs w:val="20"/>
              </w:rPr>
            </w:pPr>
            <w:r>
              <w:rPr>
                <w:iCs/>
                <w:sz w:val="20"/>
                <w:szCs w:val="20"/>
              </w:rPr>
              <w:t>South Korea</w:t>
            </w:r>
          </w:p>
        </w:tc>
        <w:tc>
          <w:tcPr>
            <w:tcW w:w="3510" w:type="dxa"/>
            <w:tcBorders>
              <w:left w:val="single" w:color="7F7F7F" w:sz="4" w:space="0"/>
              <w:right w:val="single" w:color="7F7F7F" w:sz="4" w:space="0"/>
            </w:tcBorders>
            <w:shd w:val="clear" w:color="auto" w:fill="auto"/>
            <w:vAlign w:val="center"/>
          </w:tcPr>
          <w:p>
            <w:pPr>
              <w:jc w:val="center"/>
              <w:rPr>
                <w:iCs/>
                <w:sz w:val="20"/>
                <w:szCs w:val="20"/>
              </w:rPr>
            </w:pPr>
            <w:r>
              <w:rPr>
                <w:iCs/>
                <w:sz w:val="20"/>
                <w:szCs w:val="20"/>
              </w:rPr>
              <w:t>470 - 790 MHz</w:t>
            </w:r>
          </w:p>
        </w:tc>
        <w:tc>
          <w:tcPr>
            <w:tcW w:w="2230" w:type="dxa"/>
            <w:tcBorders>
              <w:left w:val="single" w:color="7F7F7F" w:sz="4" w:space="0"/>
              <w:right w:val="single" w:color="7F7F7F" w:sz="4" w:space="0"/>
            </w:tcBorders>
            <w:shd w:val="clear" w:color="auto" w:fill="auto"/>
            <w:vAlign w:val="center"/>
          </w:tcPr>
          <w:p>
            <w:pPr>
              <w:jc w:val="center"/>
              <w:rPr>
                <w:iCs/>
                <w:sz w:val="20"/>
                <w:szCs w:val="20"/>
              </w:rPr>
            </w:pPr>
            <w:r>
              <w:rPr>
                <w:iCs/>
                <w:sz w:val="20"/>
                <w:szCs w:val="20"/>
              </w:rPr>
              <w:t>6 MHz</w:t>
            </w:r>
          </w:p>
        </w:tc>
      </w:tr>
    </w:tbl>
    <w:p>
      <w:pPr>
        <w:keepNext w:val="0"/>
        <w:keepLines w:val="0"/>
        <w:pageBreakBefore w:val="0"/>
        <w:widowControl w:val="0"/>
        <w:kinsoku/>
        <w:wordWrap/>
        <w:overflowPunct/>
        <w:topLinePunct w:val="0"/>
        <w:autoSpaceDE/>
        <w:autoSpaceDN/>
        <w:bidi w:val="0"/>
        <w:adjustRightInd/>
        <w:snapToGrid/>
        <w:spacing w:before="60" w:after="120"/>
        <w:textAlignment w:val="auto"/>
        <w:rPr>
          <w:rFonts w:hint="eastAsia"/>
          <w:sz w:val="20"/>
          <w:szCs w:val="20"/>
          <w:lang w:val="en-US" w:eastAsia="zh-CN"/>
        </w:rPr>
      </w:pPr>
      <w:r>
        <w:rPr>
          <w:rFonts w:hint="eastAsia" w:ascii="Times New Roman" w:hAnsi="Times New Roman" w:eastAsia="Times New Roman" w:cs="Times New Roman"/>
          <w:b/>
          <w:bCs/>
          <w:kern w:val="0"/>
          <w:sz w:val="20"/>
          <w:szCs w:val="20"/>
          <w:lang w:val="en-US" w:eastAsia="zh-CN"/>
        </w:rPr>
        <w:t xml:space="preserve">Proposal 2: </w:t>
      </w:r>
      <w:r>
        <w:rPr>
          <w:rFonts w:hint="eastAsia"/>
          <w:sz w:val="20"/>
          <w:szCs w:val="20"/>
          <w:lang w:val="en-US" w:eastAsia="zh-CN"/>
        </w:rPr>
        <w:t>i</w:t>
      </w:r>
      <w:r>
        <w:rPr>
          <w:rFonts w:hint="eastAsia" w:ascii="Times New Roman" w:hAnsi="Times New Roman" w:eastAsia="宋体" w:cs="Times New Roman"/>
          <w:sz w:val="20"/>
          <w:szCs w:val="20"/>
          <w:lang w:val="en-US" w:eastAsia="zh-CN"/>
        </w:rPr>
        <w:t xml:space="preserve">t is recommended </w:t>
      </w:r>
      <w:r>
        <w:rPr>
          <w:rFonts w:hint="eastAsia" w:cs="Times New Roman"/>
          <w:sz w:val="20"/>
          <w:szCs w:val="20"/>
          <w:lang w:val="en-US" w:eastAsia="zh-CN"/>
        </w:rPr>
        <w:t>to set</w:t>
      </w:r>
      <w:r>
        <w:rPr>
          <w:rFonts w:hint="eastAsia" w:ascii="Times New Roman" w:hAnsi="Times New Roman" w:eastAsia="宋体" w:cs="Times New Roman"/>
          <w:sz w:val="20"/>
          <w:szCs w:val="20"/>
          <w:lang w:val="en-US" w:eastAsia="zh-CN"/>
        </w:rPr>
        <w:t xml:space="preserve"> upper edge </w:t>
      </w:r>
      <w:r>
        <w:rPr>
          <w:rFonts w:hint="eastAsia" w:cs="Times New Roman"/>
          <w:sz w:val="20"/>
          <w:szCs w:val="20"/>
          <w:lang w:val="en-US" w:eastAsia="zh-CN"/>
        </w:rPr>
        <w:t>of LTE based broadcast as</w:t>
      </w:r>
      <w:r>
        <w:rPr>
          <w:rFonts w:hint="eastAsia" w:ascii="Times New Roman" w:hAnsi="Times New Roman" w:eastAsia="宋体" w:cs="Times New Roman"/>
          <w:sz w:val="20"/>
          <w:szCs w:val="20"/>
          <w:lang w:val="en-US" w:eastAsia="zh-CN"/>
        </w:rPr>
        <w:t xml:space="preserve"> 698 MHz.</w:t>
      </w:r>
    </w:p>
    <w:p>
      <w:pPr>
        <w:keepNext/>
        <w:widowControl w:val="0"/>
        <w:numPr>
          <w:ilvl w:val="0"/>
          <w:numId w:val="1"/>
        </w:numPr>
        <w:pBdr>
          <w:top w:val="single" w:color="auto" w:sz="12" w:space="1"/>
        </w:pBdr>
        <w:tabs>
          <w:tab w:val="left" w:pos="284"/>
        </w:tabs>
        <w:adjustRightInd w:val="0"/>
        <w:snapToGrid w:val="0"/>
        <w:spacing w:before="468" w:beforeLines="150" w:after="156" w:afterLines="50" w:line="300" w:lineRule="auto"/>
        <w:ind w:left="425" w:hanging="425"/>
        <w:jc w:val="both"/>
        <w:textAlignment w:val="baseline"/>
        <w:outlineLvl w:val="0"/>
        <w:rPr>
          <w:rFonts w:hint="eastAsia" w:ascii="Helvetica" w:hAnsi="Helvetica" w:eastAsia="宋体" w:cs="Times New Roman"/>
          <w:b/>
          <w:bCs/>
          <w:color w:val="auto"/>
          <w:kern w:val="32"/>
          <w:sz w:val="28"/>
          <w:szCs w:val="32"/>
          <w:lang w:val="en-US" w:eastAsia="zh-CN" w:bidi="ar-SA"/>
        </w:rPr>
      </w:pPr>
      <w:r>
        <w:rPr>
          <w:rFonts w:hint="eastAsia" w:ascii="Helvetica" w:hAnsi="Helvetica" w:eastAsia="宋体" w:cs="Times New Roman"/>
          <w:b/>
          <w:bCs/>
          <w:color w:val="auto"/>
          <w:kern w:val="32"/>
          <w:sz w:val="28"/>
          <w:szCs w:val="32"/>
          <w:lang w:val="en-US" w:eastAsia="zh-CN" w:bidi="ar-SA"/>
        </w:rPr>
        <w:t>Conclusion</w:t>
      </w:r>
    </w:p>
    <w:p>
      <w:pPr>
        <w:pStyle w:val="3"/>
        <w:tabs>
          <w:tab w:val="left" w:pos="226"/>
          <w:tab w:val="left" w:pos="284"/>
          <w:tab w:val="left" w:pos="5103"/>
        </w:tabs>
        <w:snapToGrid w:val="0"/>
        <w:rPr>
          <w:rFonts w:eastAsia="宋体"/>
          <w:bCs/>
          <w:i w:val="0"/>
          <w:iCs w:val="0"/>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t>
      </w:r>
      <w:r>
        <w:rPr>
          <w:rFonts w:hint="eastAsia" w:eastAsia="宋体"/>
          <w:sz w:val="20"/>
          <w:szCs w:val="20"/>
          <w:lang w:val="en-US" w:eastAsia="zh-CN"/>
        </w:rPr>
        <w:t xml:space="preserve">we shared further views on band definition for LTE based broadcast </w:t>
      </w:r>
      <w:r>
        <w:rPr>
          <w:rFonts w:hint="eastAsia" w:eastAsia="宋体"/>
          <w:i w:val="0"/>
          <w:iCs w:val="0"/>
          <w:sz w:val="20"/>
          <w:szCs w:val="20"/>
          <w:lang w:val="en-US" w:eastAsia="zh-CN"/>
        </w:rPr>
        <w:t>and proposals are made as following</w:t>
      </w:r>
      <w:r>
        <w:rPr>
          <w:rFonts w:eastAsia="宋体"/>
          <w:bCs/>
          <w:i w:val="0"/>
          <w:iCs w:val="0"/>
          <w:color w:val="auto"/>
          <w:sz w:val="20"/>
          <w:szCs w:val="20"/>
          <w:lang w:val="en-GB" w:eastAsia="zh-CN"/>
        </w:rPr>
        <w:t>:</w:t>
      </w:r>
    </w:p>
    <w:p>
      <w:pPr>
        <w:keepNext w:val="0"/>
        <w:keepLines w:val="0"/>
        <w:pageBreakBefore w:val="0"/>
        <w:widowControl w:val="0"/>
        <w:kinsoku/>
        <w:wordWrap/>
        <w:overflowPunct/>
        <w:topLinePunct w:val="0"/>
        <w:autoSpaceDE/>
        <w:autoSpaceDN/>
        <w:bidi w:val="0"/>
        <w:adjustRightInd/>
        <w:snapToGrid/>
        <w:spacing w:before="60" w:after="120"/>
        <w:textAlignment w:val="auto"/>
        <w:rPr>
          <w:rFonts w:hint="eastAsia"/>
          <w:sz w:val="20"/>
          <w:szCs w:val="20"/>
          <w:lang w:val="en-US" w:eastAsia="zh-CN"/>
        </w:rPr>
      </w:pPr>
      <w:r>
        <w:rPr>
          <w:rFonts w:hint="eastAsia" w:ascii="Times New Roman" w:hAnsi="Times New Roman" w:eastAsia="Times New Roman" w:cs="Times New Roman"/>
          <w:b/>
          <w:bCs/>
          <w:kern w:val="0"/>
          <w:sz w:val="20"/>
          <w:szCs w:val="20"/>
          <w:lang w:val="en-US" w:eastAsia="zh-CN"/>
        </w:rPr>
        <w:t>Proposal 1:</w:t>
      </w:r>
      <w:r>
        <w:rPr>
          <w:rFonts w:hint="eastAsia" w:ascii="Times New Roman" w:hAnsi="Times New Roman" w:eastAsia="Times New Roman" w:cs="Times New Roman"/>
          <w:kern w:val="0"/>
          <w:sz w:val="20"/>
          <w:szCs w:val="20"/>
          <w:lang w:val="en-US" w:eastAsia="zh-CN"/>
        </w:rPr>
        <w:t xml:space="preserve"> </w:t>
      </w:r>
      <w:r>
        <w:rPr>
          <w:rFonts w:hint="eastAsia"/>
          <w:sz w:val="20"/>
          <w:szCs w:val="20"/>
          <w:lang w:val="en-US" w:eastAsia="zh-CN"/>
        </w:rPr>
        <w:t>to define the single wide band with reusing the legacy DTT receiver design.</w:t>
      </w:r>
    </w:p>
    <w:p>
      <w:pPr>
        <w:keepNext w:val="0"/>
        <w:keepLines w:val="0"/>
        <w:pageBreakBefore w:val="0"/>
        <w:widowControl w:val="0"/>
        <w:kinsoku/>
        <w:wordWrap/>
        <w:overflowPunct/>
        <w:topLinePunct w:val="0"/>
        <w:autoSpaceDE/>
        <w:autoSpaceDN/>
        <w:bidi w:val="0"/>
        <w:adjustRightInd/>
        <w:snapToGrid/>
        <w:spacing w:before="60" w:after="120"/>
        <w:textAlignment w:val="auto"/>
        <w:rPr>
          <w:rFonts w:hint="eastAsia"/>
          <w:sz w:val="20"/>
          <w:szCs w:val="20"/>
          <w:lang w:val="en-US" w:eastAsia="zh-CN"/>
        </w:rPr>
      </w:pPr>
      <w:r>
        <w:rPr>
          <w:rFonts w:hint="eastAsia" w:ascii="Times New Roman" w:hAnsi="Times New Roman" w:eastAsia="Times New Roman" w:cs="Times New Roman"/>
          <w:b/>
          <w:bCs/>
          <w:kern w:val="0"/>
          <w:sz w:val="20"/>
          <w:szCs w:val="20"/>
          <w:lang w:val="en-US" w:eastAsia="zh-CN"/>
        </w:rPr>
        <w:t xml:space="preserve">Proposal 2: </w:t>
      </w:r>
      <w:r>
        <w:rPr>
          <w:rFonts w:hint="eastAsia"/>
          <w:sz w:val="20"/>
          <w:szCs w:val="20"/>
          <w:lang w:val="en-US" w:eastAsia="zh-CN"/>
        </w:rPr>
        <w:t>i</w:t>
      </w:r>
      <w:r>
        <w:rPr>
          <w:rFonts w:hint="eastAsia" w:ascii="Times New Roman" w:hAnsi="Times New Roman" w:eastAsia="宋体" w:cs="Times New Roman"/>
          <w:sz w:val="20"/>
          <w:szCs w:val="20"/>
          <w:lang w:val="en-US" w:eastAsia="zh-CN"/>
        </w:rPr>
        <w:t xml:space="preserve">t is recommended </w:t>
      </w:r>
      <w:r>
        <w:rPr>
          <w:rFonts w:hint="eastAsia" w:cs="Times New Roman"/>
          <w:sz w:val="20"/>
          <w:szCs w:val="20"/>
          <w:lang w:val="en-US" w:eastAsia="zh-CN"/>
        </w:rPr>
        <w:t>to set</w:t>
      </w:r>
      <w:r>
        <w:rPr>
          <w:rFonts w:hint="eastAsia" w:ascii="Times New Roman" w:hAnsi="Times New Roman" w:eastAsia="宋体" w:cs="Times New Roman"/>
          <w:sz w:val="20"/>
          <w:szCs w:val="20"/>
          <w:lang w:val="en-US" w:eastAsia="zh-CN"/>
        </w:rPr>
        <w:t xml:space="preserve"> upper edge </w:t>
      </w:r>
      <w:r>
        <w:rPr>
          <w:rFonts w:hint="eastAsia" w:cs="Times New Roman"/>
          <w:sz w:val="20"/>
          <w:szCs w:val="20"/>
          <w:lang w:val="en-US" w:eastAsia="zh-CN"/>
        </w:rPr>
        <w:t>of LTE based broadcast as</w:t>
      </w:r>
      <w:r>
        <w:rPr>
          <w:rFonts w:hint="eastAsia" w:ascii="Times New Roman" w:hAnsi="Times New Roman" w:eastAsia="宋体" w:cs="Times New Roman"/>
          <w:sz w:val="20"/>
          <w:szCs w:val="20"/>
          <w:lang w:val="en-US" w:eastAsia="zh-CN"/>
        </w:rPr>
        <w:t xml:space="preserve"> 698 MHz.</w:t>
      </w:r>
    </w:p>
    <w:p>
      <w:pPr>
        <w:keepNext/>
        <w:widowControl w:val="0"/>
        <w:numPr>
          <w:ilvl w:val="0"/>
          <w:numId w:val="1"/>
        </w:numPr>
        <w:pBdr>
          <w:top w:val="single" w:color="auto" w:sz="12" w:space="1"/>
        </w:pBdr>
        <w:tabs>
          <w:tab w:val="left" w:pos="284"/>
        </w:tabs>
        <w:adjustRightInd w:val="0"/>
        <w:snapToGrid w:val="0"/>
        <w:spacing w:before="468" w:beforeLines="150" w:after="156" w:afterLines="50" w:line="300" w:lineRule="auto"/>
        <w:ind w:left="425" w:hanging="425"/>
        <w:jc w:val="both"/>
        <w:textAlignment w:val="baseline"/>
        <w:outlineLvl w:val="0"/>
        <w:rPr>
          <w:rFonts w:hint="eastAsia" w:ascii="Helvetica" w:hAnsi="Helvetica" w:eastAsia="宋体" w:cs="Times New Roman"/>
          <w:b/>
          <w:bCs/>
          <w:color w:val="auto"/>
          <w:kern w:val="32"/>
          <w:sz w:val="28"/>
          <w:szCs w:val="32"/>
          <w:lang w:val="en-US" w:eastAsia="zh-CN" w:bidi="ar-SA"/>
        </w:rPr>
      </w:pPr>
      <w:r>
        <w:rPr>
          <w:rFonts w:hint="eastAsia" w:ascii="Helvetica" w:hAnsi="Helvetica" w:eastAsia="宋体" w:cs="Times New Roman"/>
          <w:b/>
          <w:bCs/>
          <w:color w:val="auto"/>
          <w:kern w:val="32"/>
          <w:sz w:val="28"/>
          <w:szCs w:val="32"/>
          <w:lang w:val="en-US" w:eastAsia="zh-CN" w:bidi="ar-SA"/>
        </w:rPr>
        <w:t>Reference</w:t>
      </w:r>
    </w:p>
    <w:p>
      <w:pPr>
        <w:rPr>
          <w:rFonts w:hint="default"/>
          <w:sz w:val="20"/>
          <w:szCs w:val="20"/>
          <w:lang w:val="en-US"/>
        </w:rPr>
      </w:pPr>
      <w:r>
        <w:rPr>
          <w:sz w:val="20"/>
          <w:szCs w:val="20"/>
        </w:rPr>
        <w:t>[1]</w:t>
      </w:r>
      <w:r>
        <w:rPr>
          <w:rFonts w:hint="eastAsia"/>
          <w:sz w:val="20"/>
          <w:szCs w:val="20"/>
          <w:lang w:val="en-US" w:eastAsia="zh-CN"/>
        </w:rPr>
        <w:t xml:space="preserve"> </w:t>
      </w:r>
      <w:r>
        <w:rPr>
          <w:sz w:val="20"/>
          <w:szCs w:val="20"/>
        </w:rPr>
        <w:t>R</w:t>
      </w:r>
      <w:r>
        <w:rPr>
          <w:rFonts w:hint="eastAsia"/>
          <w:sz w:val="20"/>
          <w:szCs w:val="20"/>
          <w:lang w:val="en-US" w:eastAsia="zh-CN"/>
        </w:rPr>
        <w:t>4</w:t>
      </w:r>
      <w:r>
        <w:rPr>
          <w:sz w:val="20"/>
          <w:szCs w:val="20"/>
        </w:rPr>
        <w:t>-</w:t>
      </w:r>
      <w:r>
        <w:rPr>
          <w:rFonts w:hint="eastAsia"/>
          <w:sz w:val="20"/>
          <w:szCs w:val="20"/>
          <w:lang w:val="en-US" w:eastAsia="zh-CN"/>
        </w:rPr>
        <w:t>2214442,</w:t>
      </w:r>
      <w:r>
        <w:rPr>
          <w:rFonts w:hint="eastAsia"/>
          <w:color w:val="auto"/>
          <w:sz w:val="20"/>
          <w:szCs w:val="20"/>
          <w:lang w:val="en-US" w:eastAsia="zh-CN"/>
        </w:rPr>
        <w:t xml:space="preserve"> </w:t>
      </w:r>
      <w:r>
        <w:rPr>
          <w:rFonts w:hint="default"/>
          <w:color w:val="auto"/>
          <w:sz w:val="20"/>
          <w:szCs w:val="20"/>
          <w:lang w:val="en-US" w:eastAsia="zh-CN"/>
        </w:rPr>
        <w:t>“</w:t>
      </w:r>
      <w:r>
        <w:rPr>
          <w:rFonts w:hint="eastAsia"/>
          <w:sz w:val="20"/>
          <w:szCs w:val="20"/>
        </w:rPr>
        <w:t>WF on band definition for 5G broadcast in UHF</w:t>
      </w:r>
      <w:r>
        <w:rPr>
          <w:rFonts w:hint="default"/>
          <w:color w:val="auto"/>
          <w:sz w:val="20"/>
          <w:szCs w:val="20"/>
          <w:lang w:val="en-US" w:eastAsia="zh-CN"/>
        </w:rPr>
        <w:t>”</w:t>
      </w:r>
      <w:r>
        <w:rPr>
          <w:rFonts w:hint="eastAsia"/>
          <w:color w:val="auto"/>
          <w:sz w:val="20"/>
          <w:szCs w:val="20"/>
          <w:lang w:val="en-US" w:eastAsia="zh-CN"/>
        </w:rPr>
        <w:t>, Nokia, Nokia Shanghai Bell</w:t>
      </w:r>
    </w:p>
    <w:p>
      <w:pPr>
        <w:rPr>
          <w:rFonts w:hint="default"/>
          <w:sz w:val="20"/>
          <w:szCs w:val="20"/>
          <w:lang w:val="en-US"/>
        </w:rPr>
      </w:pPr>
      <w:r>
        <w:rPr>
          <w:sz w:val="20"/>
          <w:szCs w:val="20"/>
        </w:rPr>
        <w:t>[2]</w:t>
      </w:r>
      <w:r>
        <w:rPr>
          <w:rFonts w:hint="eastAsia"/>
          <w:sz w:val="20"/>
          <w:szCs w:val="20"/>
          <w:lang w:val="en-US" w:eastAsia="zh-CN"/>
        </w:rPr>
        <w:t xml:space="preserve"> </w:t>
      </w:r>
      <w:r>
        <w:rPr>
          <w:rFonts w:hint="eastAsia" w:ascii="Times New Roman" w:hAnsi="Times New Roman" w:eastAsia="宋体" w:cs="Times New Roman"/>
          <w:sz w:val="20"/>
          <w:szCs w:val="20"/>
          <w:lang w:val="en-US" w:eastAsia="zh-CN"/>
        </w:rPr>
        <w:t>R4-2211585</w:t>
      </w:r>
      <w:r>
        <w:rPr>
          <w:rFonts w:hint="eastAsia"/>
          <w:color w:val="auto"/>
          <w:sz w:val="20"/>
          <w:szCs w:val="20"/>
          <w:lang w:val="en-US" w:eastAsia="zh-CN"/>
        </w:rPr>
        <w:t xml:space="preserve">, </w:t>
      </w:r>
      <w:r>
        <w:rPr>
          <w:rFonts w:hint="default"/>
          <w:color w:val="auto"/>
          <w:sz w:val="20"/>
          <w:szCs w:val="20"/>
          <w:lang w:val="en-US" w:eastAsia="zh-CN"/>
        </w:rPr>
        <w:t>“</w:t>
      </w:r>
      <w:r>
        <w:rPr>
          <w:rFonts w:hint="eastAsia"/>
          <w:sz w:val="20"/>
          <w:szCs w:val="20"/>
        </w:rPr>
        <w:t>Discussion on Introduction of new bands and bandwidth allocation for LTE based 5G terrestrial broadcast</w:t>
      </w:r>
      <w:r>
        <w:rPr>
          <w:rFonts w:hint="default"/>
          <w:color w:val="auto"/>
          <w:sz w:val="20"/>
          <w:szCs w:val="20"/>
          <w:lang w:val="en-US" w:eastAsia="zh-CN"/>
        </w:rPr>
        <w:t>”</w:t>
      </w:r>
      <w:r>
        <w:rPr>
          <w:rFonts w:hint="eastAsia"/>
          <w:color w:val="auto"/>
          <w:sz w:val="20"/>
          <w:szCs w:val="20"/>
          <w:lang w:val="en-US" w:eastAsia="zh-CN"/>
        </w:rPr>
        <w:t>, Rohde &amp; Schwarz</w:t>
      </w:r>
    </w:p>
    <w:p>
      <w:pPr>
        <w:rPr>
          <w:rFonts w:hint="eastAsia"/>
          <w:sz w:val="20"/>
          <w:szCs w:val="20"/>
        </w:rPr>
      </w:pPr>
    </w:p>
    <w:p>
      <w:pPr>
        <w:keepNext/>
        <w:bidi w:val="0"/>
        <w:spacing w:before="240" w:after="60"/>
        <w:outlineLvl w:val="1"/>
        <w:rPr>
          <w:rFonts w:hint="default" w:ascii="Helvetica" w:hAnsi="Helvetica" w:eastAsia="MS Mincho" w:cs="Times New Roman"/>
          <w:b/>
          <w:bCs/>
          <w:iCs/>
          <w:color w:val="auto"/>
          <w:sz w:val="28"/>
          <w:szCs w:val="28"/>
          <w:lang w:val="en-US" w:eastAsia="zh-CN" w:bidi="ar-SA"/>
        </w:rPr>
      </w:pPr>
    </w:p>
    <w:sectPr>
      <w:headerReference r:id="rId3" w:type="default"/>
      <w:footerReference r:id="rId4" w:type="default"/>
      <w:footerReference r:id="rId5"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ＭＳ 明朝">
    <w:altName w:val="Yu Gothic UI"/>
    <w:panose1 w:val="02020609040205080304"/>
    <w:charset w:val="80"/>
    <w:family w:val="modern"/>
    <w:pitch w:val="default"/>
    <w:sig w:usb0="00000000" w:usb1="00000000" w:usb2="08000012" w:usb3="00000000" w:csb0="0002009F" w:csb1="00000000"/>
  </w:font>
  <w:font w:name="MS Mincho">
    <w:altName w:val="Yu Gothic UI"/>
    <w:panose1 w:val="02020609040205080304"/>
    <w:charset w:val="80"/>
    <w:family w:val="modern"/>
    <w:pitch w:val="default"/>
    <w:sig w:usb0="00000000" w:usb1="00000000" w:usb2="00000012" w:usb3="00000000" w:csb0="4002009F" w:csb1="DFD70000"/>
  </w:font>
  <w:font w:name="Helvetica">
    <w:altName w:val="Arial"/>
    <w:panose1 w:val="020B0604020202020204"/>
    <w:charset w:val="00"/>
    <w:family w:val="swiss"/>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541" w:yAlign="top"/>
      <w:rPr>
        <w:rStyle w:val="10"/>
      </w:rPr>
    </w:pPr>
    <w:r>
      <w:rPr>
        <w:rStyle w:val="10"/>
        <w:rFonts w:hint="eastAsia"/>
      </w:rPr>
      <w:t>第</w:t>
    </w:r>
    <w:r>
      <w:rPr>
        <w:rStyle w:val="10"/>
      </w:rPr>
      <w:fldChar w:fldCharType="begin"/>
    </w:r>
    <w:r>
      <w:rPr>
        <w:rStyle w:val="10"/>
      </w:rPr>
      <w:instrText xml:space="preserve">PAGE  </w:instrText>
    </w:r>
    <w:r>
      <w:rPr>
        <w:rStyle w:val="10"/>
      </w:rPr>
      <w:fldChar w:fldCharType="separate"/>
    </w:r>
    <w:r>
      <w:rPr>
        <w:rStyle w:val="10"/>
      </w:rPr>
      <w:t>1</w:t>
    </w:r>
    <w:r>
      <w:rPr>
        <w:rStyle w:val="10"/>
      </w:rPr>
      <w:fldChar w:fldCharType="end"/>
    </w:r>
    <w:r>
      <w:rPr>
        <w:rStyle w:val="10"/>
        <w:rFonts w:hint="eastAsia"/>
      </w:rPr>
      <w:t>页</w:t>
    </w:r>
  </w:p>
  <w:p>
    <w:pPr>
      <w:pStyle w:val="5"/>
      <w:ind w:right="360"/>
      <w:jc w:val="both"/>
      <w:rPr>
        <w:rFonts w:ascii="宋体" w:hAnsi="宋体"/>
      </w:rPr>
    </w:pPr>
    <w:r>
      <w:t>&lt;</w:t>
    </w:r>
    <w:r>
      <w:rPr>
        <w:rFonts w:hint="eastAsia" w:hAnsi="宋体"/>
      </w:rPr>
      <w:t>以上</w:t>
    </w:r>
    <w:r>
      <w:rPr>
        <w:rFonts w:hAnsi="宋体"/>
      </w:rPr>
      <w:t>所有信息均为中兴通讯股份有限公司</w:t>
    </w:r>
    <w:r>
      <w:rPr>
        <w:rFonts w:hint="eastAsia" w:hAnsi="宋体"/>
      </w:rPr>
      <w:t>所有</w:t>
    </w:r>
    <w:r>
      <w:rPr>
        <w:rFonts w:hAnsi="宋体"/>
      </w:rPr>
      <w:t>，不</w:t>
    </w:r>
    <w:r>
      <w:rPr>
        <w:rFonts w:hint="eastAsia" w:hAnsi="宋体"/>
      </w:rPr>
      <w:t>得</w:t>
    </w:r>
    <w:r>
      <w:rPr>
        <w:rFonts w:hAnsi="宋体"/>
      </w:rPr>
      <w:t>外传</w:t>
    </w:r>
    <w:r>
      <w:t>&gt;</w:t>
    </w: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10"/>
      </w:rPr>
    </w:pPr>
    <w:r>
      <w:rPr>
        <w:rStyle w:val="10"/>
      </w:rPr>
      <w:fldChar w:fldCharType="begin"/>
    </w:r>
    <w:r>
      <w:rPr>
        <w:rStyle w:val="10"/>
      </w:rPr>
      <w:instrText xml:space="preserve">PAGE  </w:instrText>
    </w:r>
    <w:r>
      <w:rPr>
        <w:rStyle w:val="10"/>
      </w:rPr>
      <w:fldChar w:fldCharType="end"/>
    </w:r>
  </w:p>
  <w:p>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r>
      <w:rPr>
        <w:rFonts w:cs="宋体"/>
        <w:color w:val="000000"/>
        <w:kern w:val="0"/>
        <w:sz w:val="20"/>
        <w:szCs w:val="20"/>
      </w:rPr>
      <w:drawing>
        <wp:anchor distT="0" distB="0" distL="114300" distR="114300" simplePos="0" relativeHeight="251659264" behindDoc="0" locked="0" layoutInCell="1" allowOverlap="1">
          <wp:simplePos x="0" y="0"/>
          <wp:positionH relativeFrom="margin">
            <wp:posOffset>-46990</wp:posOffset>
          </wp:positionH>
          <wp:positionV relativeFrom="paragraph">
            <wp:posOffset>278130</wp:posOffset>
          </wp:positionV>
          <wp:extent cx="5387975" cy="52070"/>
          <wp:effectExtent l="19050" t="0" r="3175" b="0"/>
          <wp:wrapTopAndBottom/>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1"/>
                  <a:srcRect/>
                  <a:stretch>
                    <a:fillRect/>
                  </a:stretch>
                </pic:blipFill>
                <pic:spPr>
                  <a:xfrm>
                    <a:off x="0" y="0"/>
                    <a:ext cx="5387975" cy="52070"/>
                  </a:xfrm>
                  <a:prstGeom prst="rect">
                    <a:avLst/>
                  </a:prstGeom>
                  <a:noFill/>
                  <a:ln w="9525">
                    <a:noFill/>
                    <a:miter lim="800000"/>
                    <a:headEnd/>
                    <a:tailEnd/>
                  </a:ln>
                </pic:spPr>
              </pic:pic>
            </a:graphicData>
          </a:graphic>
        </wp:anchor>
      </w:drawing>
    </w:r>
    <w:r>
      <w:drawing>
        <wp:inline distT="0" distB="0" distL="0" distR="0">
          <wp:extent cx="885825" cy="228600"/>
          <wp:effectExtent l="19050" t="0" r="9525" b="0"/>
          <wp:docPr id="1" name="图片 4" descr="未标题-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未标题-9-01"/>
                  <pic:cNvPicPr>
                    <a:picLocks noChangeAspect="1" noChangeArrowheads="1"/>
                  </pic:cNvPicPr>
                </pic:nvPicPr>
                <pic:blipFill>
                  <a:blip r:embed="rId2"/>
                  <a:srcRect/>
                  <a:stretch>
                    <a:fillRect/>
                  </a:stretch>
                </pic:blipFill>
                <pic:spPr>
                  <a:xfrm>
                    <a:off x="0" y="0"/>
                    <a:ext cx="885825" cy="228600"/>
                  </a:xfrm>
                  <a:prstGeom prst="rect">
                    <a:avLst/>
                  </a:prstGeom>
                  <a:noFill/>
                  <a:ln w="9525">
                    <a:noFill/>
                    <a:miter lim="800000"/>
                    <a:headEnd/>
                    <a:tailEnd/>
                  </a:ln>
                </pic:spPr>
              </pic:pic>
            </a:graphicData>
          </a:graphic>
        </wp:inline>
      </w:drawing>
    </w:r>
    <w:r>
      <w:rPr>
        <w:rFonts w:hint="eastAsia"/>
      </w:rPr>
      <w:t xml:space="preserve">                                                           </w:t>
    </w:r>
    <w:r>
      <w:rPr>
        <w:rFonts w:hint="eastAsia" w:ascii="宋体" w:hAnsi="宋体" w:cs="仿宋_GB2312"/>
        <w:color w:val="000000"/>
        <w:kern w:val="0"/>
        <w:szCs w:val="21"/>
      </w:rPr>
      <w:t>秘密</w:t>
    </w:r>
    <w:r>
      <w:rPr>
        <w:rFonts w:hint="eastAsia"/>
        <w:color w:val="000000"/>
        <w:kern w:val="0"/>
        <w:szCs w:val="21"/>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715308"/>
    <w:multiLevelType w:val="multilevel"/>
    <w:tmpl w:val="06715308"/>
    <w:lvl w:ilvl="0" w:tentative="0">
      <w:start w:val="0"/>
      <w:numFmt w:val="bullet"/>
      <w:lvlText w:val=""/>
      <w:lvlJc w:val="left"/>
      <w:pPr>
        <w:ind w:left="720" w:hanging="360"/>
      </w:pPr>
      <w:rPr>
        <w:rFonts w:hint="default" w:ascii="Symbol" w:hAnsi="Symbol"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2BE2F3A"/>
    <w:multiLevelType w:val="multilevel"/>
    <w:tmpl w:val="42BE2F3A"/>
    <w:lvl w:ilvl="0" w:tentative="0">
      <w:start w:val="0"/>
      <w:numFmt w:val="bullet"/>
      <w:lvlText w:val=""/>
      <w:lvlJc w:val="left"/>
      <w:pPr>
        <w:ind w:left="720" w:hanging="360"/>
      </w:pPr>
      <w:rPr>
        <w:rFonts w:hint="default" w:ascii="Symbol" w:hAnsi="Symbol"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5F91AB9"/>
    <w:rsid w:val="00092939"/>
    <w:rsid w:val="00126145"/>
    <w:rsid w:val="001767E6"/>
    <w:rsid w:val="00190A8D"/>
    <w:rsid w:val="001B21A1"/>
    <w:rsid w:val="002333B7"/>
    <w:rsid w:val="00244D42"/>
    <w:rsid w:val="002D35FA"/>
    <w:rsid w:val="00312C1A"/>
    <w:rsid w:val="00312DD1"/>
    <w:rsid w:val="0033176D"/>
    <w:rsid w:val="003504B5"/>
    <w:rsid w:val="003A2A06"/>
    <w:rsid w:val="003F58F6"/>
    <w:rsid w:val="00413229"/>
    <w:rsid w:val="00427917"/>
    <w:rsid w:val="0046088D"/>
    <w:rsid w:val="0048006F"/>
    <w:rsid w:val="004C63EE"/>
    <w:rsid w:val="004C7BFA"/>
    <w:rsid w:val="004D79CC"/>
    <w:rsid w:val="0051029C"/>
    <w:rsid w:val="005D680C"/>
    <w:rsid w:val="005F56A6"/>
    <w:rsid w:val="00620346"/>
    <w:rsid w:val="00690BB8"/>
    <w:rsid w:val="006C60A2"/>
    <w:rsid w:val="006D7CA8"/>
    <w:rsid w:val="00763814"/>
    <w:rsid w:val="00771468"/>
    <w:rsid w:val="00793203"/>
    <w:rsid w:val="00796A2A"/>
    <w:rsid w:val="007A2A69"/>
    <w:rsid w:val="007C2C21"/>
    <w:rsid w:val="007C33E4"/>
    <w:rsid w:val="007E771D"/>
    <w:rsid w:val="00872250"/>
    <w:rsid w:val="0096003B"/>
    <w:rsid w:val="00971DDC"/>
    <w:rsid w:val="00992DCD"/>
    <w:rsid w:val="009D6233"/>
    <w:rsid w:val="009E748B"/>
    <w:rsid w:val="00A22250"/>
    <w:rsid w:val="00A95088"/>
    <w:rsid w:val="00AC4276"/>
    <w:rsid w:val="00AE7865"/>
    <w:rsid w:val="00B12666"/>
    <w:rsid w:val="00C50168"/>
    <w:rsid w:val="00D85273"/>
    <w:rsid w:val="00DA12AB"/>
    <w:rsid w:val="00E153F6"/>
    <w:rsid w:val="00E26FED"/>
    <w:rsid w:val="00E43842"/>
    <w:rsid w:val="00E943EE"/>
    <w:rsid w:val="00F01A21"/>
    <w:rsid w:val="00F204EA"/>
    <w:rsid w:val="00FF0AAD"/>
    <w:rsid w:val="05262CD9"/>
    <w:rsid w:val="05482948"/>
    <w:rsid w:val="05F91AB9"/>
    <w:rsid w:val="12274998"/>
    <w:rsid w:val="14CF6845"/>
    <w:rsid w:val="17124815"/>
    <w:rsid w:val="1D390DDF"/>
    <w:rsid w:val="1F2F707A"/>
    <w:rsid w:val="1F3B6AA6"/>
    <w:rsid w:val="218B5040"/>
    <w:rsid w:val="241D01D4"/>
    <w:rsid w:val="254277FE"/>
    <w:rsid w:val="2A555B54"/>
    <w:rsid w:val="319C47E5"/>
    <w:rsid w:val="33C638C0"/>
    <w:rsid w:val="3A583D1A"/>
    <w:rsid w:val="44C70D28"/>
    <w:rsid w:val="47906437"/>
    <w:rsid w:val="49FF06DD"/>
    <w:rsid w:val="513503E1"/>
    <w:rsid w:val="5363569C"/>
    <w:rsid w:val="5D2F7FD4"/>
    <w:rsid w:val="69797C2C"/>
    <w:rsid w:val="699A169F"/>
    <w:rsid w:val="6B73585E"/>
    <w:rsid w:val="77DD599C"/>
    <w:rsid w:val="79937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nhideWhenUsed="0" w:uiPriority="0" w:name="header"/>
    <w:lsdException w:qFormat="1" w:unhideWhenUsed="0"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ＭＳ 明朝" w:cs="Times New Roman"/>
      <w:sz w:val="36"/>
      <w:lang w:val="en-GB" w:eastAsia="en-US"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after="120"/>
      <w:jc w:val="both"/>
    </w:pPr>
    <w:rPr>
      <w:rFonts w:eastAsia="MS Mincho"/>
      <w:lang w:val="zh-CN"/>
    </w:rPr>
  </w:style>
  <w:style w:type="paragraph" w:styleId="4">
    <w:name w:val="Balloon Text"/>
    <w:basedOn w:val="1"/>
    <w:link w:val="11"/>
    <w:unhideWhenUsed/>
    <w:qFormat/>
    <w:uiPriority w:val="99"/>
    <w:rPr>
      <w:sz w:val="18"/>
      <w:szCs w:val="18"/>
    </w:rPr>
  </w:style>
  <w:style w:type="paragraph" w:styleId="5">
    <w:name w:val="footer"/>
    <w:basedOn w:val="1"/>
    <w:semiHidden/>
    <w:qFormat/>
    <w:uiPriority w:val="0"/>
    <w:pPr>
      <w:tabs>
        <w:tab w:val="center" w:pos="4153"/>
        <w:tab w:val="right" w:pos="8306"/>
      </w:tabs>
      <w:snapToGrid w:val="0"/>
      <w:jc w:val="left"/>
    </w:pPr>
    <w:rPr>
      <w:sz w:val="18"/>
      <w:szCs w:val="18"/>
    </w:rPr>
  </w:style>
  <w:style w:type="paragraph" w:styleId="6">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table" w:styleId="8">
    <w:name w:val="Table Gri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semiHidden/>
    <w:qFormat/>
    <w:uiPriority w:val="0"/>
  </w:style>
  <w:style w:type="character" w:customStyle="1" w:styleId="11">
    <w:name w:val="批注框文本 字符"/>
    <w:basedOn w:val="9"/>
    <w:link w:val="4"/>
    <w:semiHidden/>
    <w:qFormat/>
    <w:uiPriority w:val="99"/>
    <w:rPr>
      <w:kern w:val="2"/>
      <w:sz w:val="18"/>
      <w:szCs w:val="18"/>
    </w:rPr>
  </w:style>
  <w:style w:type="paragraph" w:customStyle="1" w:styleId="12">
    <w:name w:val="TH"/>
    <w:basedOn w:val="1"/>
    <w:qFormat/>
    <w:uiPriority w:val="0"/>
    <w:pPr>
      <w:keepNext/>
      <w:keepLines/>
      <w:spacing w:before="60"/>
      <w:jc w:val="center"/>
    </w:pPr>
    <w:rPr>
      <w:rFonts w:ascii="Arial" w:hAnsi="Arial"/>
      <w:b/>
    </w:rPr>
  </w:style>
  <w:style w:type="paragraph" w:customStyle="1" w:styleId="13">
    <w:name w:val="TAH"/>
    <w:basedOn w:val="14"/>
    <w:qFormat/>
    <w:uiPriority w:val="0"/>
    <w:rPr>
      <w:b/>
    </w:rPr>
  </w:style>
  <w:style w:type="paragraph" w:customStyle="1" w:styleId="14">
    <w:name w:val="TAC"/>
    <w:basedOn w:val="15"/>
    <w:qFormat/>
    <w:uiPriority w:val="0"/>
    <w:pPr>
      <w:jc w:val="center"/>
    </w:pPr>
  </w:style>
  <w:style w:type="paragraph" w:customStyle="1" w:styleId="15">
    <w:name w:val="TAL"/>
    <w:basedOn w:val="1"/>
    <w:qFormat/>
    <w:uiPriority w:val="0"/>
    <w:pPr>
      <w:keepNext/>
      <w:keepLines/>
      <w:spacing w:after="0"/>
    </w:pPr>
    <w:rPr>
      <w:rFonts w:ascii="Arial" w:hAnsi="Arial"/>
      <w:sz w:val="18"/>
    </w:rPr>
  </w:style>
  <w:style w:type="paragraph" w:customStyle="1" w:styleId="16">
    <w:name w:val="TAN"/>
    <w:basedOn w:val="15"/>
    <w:qFormat/>
    <w:uiPriority w:val="0"/>
    <w:pPr>
      <w:ind w:left="851" w:hanging="851"/>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TotalTime>
  <ScaleCrop>false</ScaleCrop>
  <LinksUpToDate>false</LinksUpToDate>
  <CharactersWithSpaces>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2022-09-22T08:29:00Z</dcterms:created>
  <dc:creator>Administrator</dc:creator>
  <cp:lastModifiedBy>Administrator</cp:lastModifiedBy>
  <dcterms:modified xsi:type="dcterms:W3CDTF">2022-09-30T08:29:41Z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